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2A638" w14:textId="27A7A36C" w:rsidR="00143734" w:rsidRDefault="00143734" w:rsidP="00143734">
      <w:pPr>
        <w:pStyle w:val="Heading1"/>
        <w:spacing w:before="0" w:after="0"/>
      </w:pPr>
      <w:bookmarkStart w:id="0" w:name="_Ref39764669"/>
      <w:bookmarkStart w:id="1" w:name="_Toc40115232"/>
      <w:r>
        <w:t>Video Conferencing Platforms Feature Matrix</w:t>
      </w:r>
      <w:bookmarkEnd w:id="0"/>
      <w:bookmarkEnd w:id="1"/>
    </w:p>
    <w:p w14:paraId="42CBD9E8" w14:textId="77777777" w:rsidR="004049B8" w:rsidRDefault="004049B8" w:rsidP="004049B8">
      <w:pPr>
        <w:pStyle w:val="Subtitle"/>
        <w:spacing w:after="0"/>
      </w:pPr>
      <w:r>
        <w:t>*developed with a consensus by deaf, hard of hearing, and DeafBlind consumer advocacy organizations and subject matter experts</w:t>
      </w:r>
    </w:p>
    <w:p w14:paraId="653524A6" w14:textId="0BFB327F" w:rsidR="004049B8" w:rsidRDefault="004049B8" w:rsidP="004049B8"/>
    <w:p w14:paraId="3ECCF8DF" w14:textId="0A5DE62D" w:rsidR="00F04DC7" w:rsidRPr="004049B8" w:rsidRDefault="00F04DC7" w:rsidP="004049B8">
      <w:r>
        <w:t xml:space="preserve">See also the </w:t>
      </w:r>
      <w:hyperlink r:id="rId7" w:history="1">
        <w:r w:rsidRPr="00F04DC7">
          <w:rPr>
            <w:rStyle w:val="Hyperlink"/>
          </w:rPr>
          <w:t>Web version on the Deaf/Hard of Hearing Technology RERC site</w:t>
        </w:r>
      </w:hyperlink>
      <w:r>
        <w:t>.</w:t>
      </w:r>
    </w:p>
    <w:p w14:paraId="56BF746E" w14:textId="18E68AF1" w:rsidR="00143734" w:rsidRPr="00793C6B" w:rsidRDefault="00143734" w:rsidP="00143734">
      <w:r>
        <w:t xml:space="preserve">Different applications have different features and </w:t>
      </w:r>
      <w:r w:rsidRPr="00793C6B">
        <w:t xml:space="preserve">approaches to accessibility. </w:t>
      </w:r>
      <w:r w:rsidR="004049B8" w:rsidRPr="00793C6B">
        <w:t xml:space="preserve">Entities </w:t>
      </w:r>
      <w:r w:rsidRPr="00793C6B">
        <w:t xml:space="preserve">must evaluate accessibility in consultation with </w:t>
      </w:r>
      <w:r w:rsidR="004049B8" w:rsidRPr="00793C6B">
        <w:t>deaf or hard of hearing user</w:t>
      </w:r>
      <w:r w:rsidR="00793C6B" w:rsidRPr="00793C6B">
        <w:t>s</w:t>
      </w:r>
      <w:r w:rsidRPr="00793C6B">
        <w:t xml:space="preserve"> when choosing video-conferencing platforms. </w:t>
      </w:r>
      <w:r w:rsidR="00616269" w:rsidRPr="00793C6B">
        <w:t>They</w:t>
      </w:r>
      <w:r w:rsidRPr="00793C6B">
        <w:t xml:space="preserve"> also may need to consider the security of each respective video-conferencing platform. Security and accessibility can be (but need not be) in tension, and </w:t>
      </w:r>
      <w:r w:rsidR="004049B8" w:rsidRPr="00793C6B">
        <w:t>entities</w:t>
      </w:r>
      <w:r w:rsidRPr="00793C6B">
        <w:t xml:space="preserve"> are encouraged to pick the most accessible platform that meets the organization’s security requirements.</w:t>
      </w:r>
    </w:p>
    <w:p w14:paraId="09E281BF" w14:textId="363A556F" w:rsidR="00143734" w:rsidRPr="00793C6B" w:rsidRDefault="00143734" w:rsidP="00143734">
      <w:r w:rsidRPr="00793C6B">
        <w:t xml:space="preserve">This document does not evaluate the security of platforms, and </w:t>
      </w:r>
      <w:r w:rsidR="004049B8" w:rsidRPr="00793C6B">
        <w:t>entities</w:t>
      </w:r>
      <w:r w:rsidRPr="00793C6B">
        <w:t xml:space="preserve"> should consult other resources to understand the security implications of their choices.</w:t>
      </w:r>
    </w:p>
    <w:p w14:paraId="5198316F" w14:textId="7730F559" w:rsidR="00143734" w:rsidRDefault="00143734" w:rsidP="00143734">
      <w:r w:rsidRPr="00793C6B">
        <w:t xml:space="preserve">The feature matrix is current as of May 1, 2020. Note that video-conferencing software constantly evolves. </w:t>
      </w:r>
      <w:r w:rsidR="004049B8" w:rsidRPr="00793C6B">
        <w:t>Entities and deaf or hard of hearing users</w:t>
      </w:r>
      <w:r w:rsidRPr="00793C6B">
        <w:t xml:space="preserve"> should double-check presence and absence of needed features prior to making a final determination. The platforms in the feature matrix below were tested on the respective supported device categories (desktop and mobile). The section below this feature</w:t>
      </w:r>
      <w:r w:rsidRPr="004049B8">
        <w:t xml:space="preserve"> matrix provides some details and tips on how to test for needed features.</w:t>
      </w:r>
    </w:p>
    <w:p w14:paraId="0ADD1440" w14:textId="344809EC" w:rsidR="004049B8" w:rsidRDefault="004049B8" w:rsidP="004049B8">
      <w:r>
        <w:t>Some of the features that employers may want to consider are:</w:t>
      </w:r>
    </w:p>
    <w:p w14:paraId="5E5E7ED7" w14:textId="77777777" w:rsidR="004049B8" w:rsidRDefault="004049B8" w:rsidP="004049B8">
      <w:pPr>
        <w:pStyle w:val="ListParagraph"/>
        <w:numPr>
          <w:ilvl w:val="0"/>
          <w:numId w:val="2"/>
        </w:numPr>
      </w:pPr>
      <w:r>
        <w:t>Integration with captioning services (e.g. remote CART and StreamText)</w:t>
      </w:r>
      <w:r>
        <w:rPr>
          <w:vertAlign w:val="superscript"/>
        </w:rPr>
        <w:footnoteReference w:id="1"/>
      </w:r>
    </w:p>
    <w:p w14:paraId="6A34E2A8" w14:textId="77777777" w:rsidR="004049B8" w:rsidRDefault="004049B8" w:rsidP="004049B8">
      <w:pPr>
        <w:pStyle w:val="ListParagraph"/>
        <w:numPr>
          <w:ilvl w:val="0"/>
          <w:numId w:val="2"/>
        </w:numPr>
      </w:pPr>
      <w:r>
        <w:t>User-customized appearance and font size of captions</w:t>
      </w:r>
      <w:r>
        <w:rPr>
          <w:vertAlign w:val="superscript"/>
        </w:rPr>
        <w:footnoteReference w:id="2"/>
      </w:r>
    </w:p>
    <w:p w14:paraId="09E83E19" w14:textId="77777777" w:rsidR="004049B8" w:rsidRDefault="004049B8" w:rsidP="004049B8">
      <w:pPr>
        <w:pStyle w:val="ListParagraph"/>
        <w:numPr>
          <w:ilvl w:val="0"/>
          <w:numId w:val="2"/>
        </w:numPr>
      </w:pPr>
      <w:r>
        <w:t>Integration with automatic speech recognition (ASR) services</w:t>
      </w:r>
      <w:r>
        <w:rPr>
          <w:vertAlign w:val="superscript"/>
        </w:rPr>
        <w:footnoteReference w:id="3"/>
      </w:r>
    </w:p>
    <w:p w14:paraId="2DA2EA3F" w14:textId="77777777" w:rsidR="004049B8" w:rsidRDefault="004049B8" w:rsidP="004049B8">
      <w:pPr>
        <w:pStyle w:val="ListParagraph"/>
        <w:numPr>
          <w:ilvl w:val="0"/>
          <w:numId w:val="2"/>
        </w:numPr>
      </w:pPr>
      <w:r>
        <w:t>Availability of ten-digit numbers to allow participation via relay services</w:t>
      </w:r>
      <w:r>
        <w:rPr>
          <w:vertAlign w:val="superscript"/>
        </w:rPr>
        <w:footnoteReference w:id="4"/>
      </w:r>
    </w:p>
    <w:p w14:paraId="5E015052" w14:textId="77777777" w:rsidR="004049B8" w:rsidRDefault="004049B8" w:rsidP="004049B8">
      <w:pPr>
        <w:pStyle w:val="ListParagraph"/>
        <w:numPr>
          <w:ilvl w:val="0"/>
          <w:numId w:val="2"/>
        </w:numPr>
      </w:pPr>
      <w:r>
        <w:t>Pinning of videos to support sign language interpreters when video follows the active speaker</w:t>
      </w:r>
      <w:r>
        <w:rPr>
          <w:vertAlign w:val="superscript"/>
        </w:rPr>
        <w:footnoteReference w:id="5"/>
      </w:r>
    </w:p>
    <w:p w14:paraId="73734708" w14:textId="77777777" w:rsidR="004049B8" w:rsidRDefault="004049B8" w:rsidP="004049B8">
      <w:pPr>
        <w:pStyle w:val="ListParagraph"/>
        <w:numPr>
          <w:ilvl w:val="0"/>
          <w:numId w:val="2"/>
        </w:numPr>
      </w:pPr>
      <w:r>
        <w:lastRenderedPageBreak/>
        <w:t>Participant-controlled resizing of video to improve visual access to interpreters and/or lip-reading</w:t>
      </w:r>
      <w:r>
        <w:rPr>
          <w:vertAlign w:val="superscript"/>
        </w:rPr>
        <w:footnoteReference w:id="6"/>
      </w:r>
    </w:p>
    <w:p w14:paraId="2878F7AB" w14:textId="77777777" w:rsidR="004049B8" w:rsidRDefault="004049B8" w:rsidP="004049B8">
      <w:pPr>
        <w:pStyle w:val="ListParagraph"/>
        <w:numPr>
          <w:ilvl w:val="0"/>
          <w:numId w:val="2"/>
        </w:numPr>
      </w:pPr>
      <w:r>
        <w:t>Availability of enlarged videos and screen-sharing at the same time to support interpreting and/or lip-reading in presentation mode</w:t>
      </w:r>
      <w:r>
        <w:rPr>
          <w:vertAlign w:val="superscript"/>
        </w:rPr>
        <w:footnoteReference w:id="7"/>
      </w:r>
    </w:p>
    <w:p w14:paraId="43C2150A" w14:textId="77777777" w:rsidR="004049B8" w:rsidRDefault="004049B8" w:rsidP="004049B8">
      <w:pPr>
        <w:pStyle w:val="ListParagraph"/>
        <w:numPr>
          <w:ilvl w:val="0"/>
          <w:numId w:val="2"/>
        </w:numPr>
      </w:pPr>
      <w:r>
        <w:t>Text-chat functionality with prominent visual notifications</w:t>
      </w:r>
      <w:r>
        <w:rPr>
          <w:vertAlign w:val="superscript"/>
        </w:rPr>
        <w:footnoteReference w:id="8"/>
      </w:r>
    </w:p>
    <w:p w14:paraId="07AE0A23" w14:textId="77777777" w:rsidR="004049B8" w:rsidRDefault="004049B8" w:rsidP="004049B8">
      <w:pPr>
        <w:pStyle w:val="ListParagraph"/>
        <w:numPr>
          <w:ilvl w:val="0"/>
          <w:numId w:val="2"/>
        </w:numPr>
      </w:pPr>
      <w:r>
        <w:t>Number of videos supported without degradation of quality</w:t>
      </w:r>
      <w:r>
        <w:rPr>
          <w:vertAlign w:val="superscript"/>
        </w:rPr>
        <w:footnoteReference w:id="9"/>
      </w:r>
    </w:p>
    <w:p w14:paraId="3AC78A9A" w14:textId="77777777" w:rsidR="004049B8" w:rsidRDefault="004049B8" w:rsidP="004049B8">
      <w:pPr>
        <w:pStyle w:val="ListParagraph"/>
        <w:numPr>
          <w:ilvl w:val="0"/>
          <w:numId w:val="2"/>
        </w:numPr>
      </w:pPr>
      <w:r>
        <w:t>Support for video gallery view</w:t>
      </w:r>
      <w:r>
        <w:rPr>
          <w:vertAlign w:val="superscript"/>
        </w:rPr>
        <w:footnoteReference w:id="10"/>
      </w:r>
    </w:p>
    <w:p w14:paraId="141CFE08" w14:textId="77777777" w:rsidR="004049B8" w:rsidRDefault="004049B8" w:rsidP="004049B8">
      <w:pPr>
        <w:pStyle w:val="ListParagraph"/>
        <w:numPr>
          <w:ilvl w:val="0"/>
          <w:numId w:val="2"/>
        </w:numPr>
      </w:pPr>
      <w:r>
        <w:t>Support for co-host or moderator roles</w:t>
      </w:r>
      <w:r>
        <w:rPr>
          <w:vertAlign w:val="superscript"/>
        </w:rPr>
        <w:footnoteReference w:id="11"/>
      </w:r>
    </w:p>
    <w:p w14:paraId="56AD603D" w14:textId="77777777" w:rsidR="00143734" w:rsidRDefault="00143734" w:rsidP="00143734"/>
    <w:p w14:paraId="5451FA19" w14:textId="77777777" w:rsidR="00143734" w:rsidRDefault="00143734" w:rsidP="00143734">
      <w:r>
        <w:t>See the next page for the matrix.</w:t>
      </w:r>
    </w:p>
    <w:p w14:paraId="67F4672C" w14:textId="77777777" w:rsidR="00143734" w:rsidRDefault="00143734" w:rsidP="00143734">
      <w:pPr>
        <w:spacing w:after="0"/>
      </w:pPr>
    </w:p>
    <w:p w14:paraId="2626F7E0" w14:textId="77777777" w:rsidR="00143734" w:rsidRDefault="00143734" w:rsidP="00143734">
      <w:pPr>
        <w:spacing w:after="0"/>
      </w:pPr>
    </w:p>
    <w:p w14:paraId="40000DA3" w14:textId="77777777" w:rsidR="00143734" w:rsidRDefault="00143734" w:rsidP="00143734">
      <w:pPr>
        <w:spacing w:after="0"/>
      </w:pPr>
    </w:p>
    <w:tbl>
      <w:tblPr>
        <w:tblW w:w="0" w:type="auto"/>
        <w:jc w:val="center"/>
        <w:tblBorders>
          <w:top w:val="nil"/>
          <w:left w:val="nil"/>
          <w:bottom w:val="nil"/>
          <w:right w:val="nil"/>
          <w:insideH w:val="nil"/>
          <w:insideV w:val="nil"/>
        </w:tblBorders>
        <w:tblLook w:val="0620" w:firstRow="1" w:lastRow="0" w:firstColumn="0" w:lastColumn="0" w:noHBand="1" w:noVBand="1"/>
      </w:tblPr>
      <w:tblGrid>
        <w:gridCol w:w="1432"/>
        <w:gridCol w:w="1080"/>
        <w:gridCol w:w="1080"/>
        <w:gridCol w:w="1095"/>
        <w:gridCol w:w="1153"/>
        <w:gridCol w:w="992"/>
        <w:gridCol w:w="1080"/>
        <w:gridCol w:w="1260"/>
        <w:gridCol w:w="990"/>
        <w:gridCol w:w="1201"/>
        <w:gridCol w:w="827"/>
        <w:gridCol w:w="754"/>
      </w:tblGrid>
      <w:tr w:rsidR="00D33908" w14:paraId="06E81706" w14:textId="77777777" w:rsidTr="003E2786">
        <w:trPr>
          <w:cantSplit/>
          <w:trHeight w:val="20"/>
          <w:tblHeader/>
          <w:jc w:val="center"/>
        </w:trPr>
        <w:tc>
          <w:tcPr>
            <w:tcW w:w="1432"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5D180812" w14:textId="77777777" w:rsidR="00143734" w:rsidRDefault="00143734" w:rsidP="003E2786">
            <w:pPr>
              <w:pStyle w:val="TableHeading"/>
              <w:spacing w:after="0"/>
            </w:pPr>
            <w:r>
              <w:lastRenderedPageBreak/>
              <w:t>Platform</w:t>
            </w:r>
          </w:p>
        </w:tc>
        <w:tc>
          <w:tcPr>
            <w:tcW w:w="1080"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7DFA7CEB" w14:textId="77777777" w:rsidR="00143734" w:rsidRDefault="00143734" w:rsidP="003E2786">
            <w:pPr>
              <w:pStyle w:val="TableHeading"/>
              <w:spacing w:after="0"/>
            </w:pPr>
            <w:r>
              <w:t>Caption Support:</w:t>
            </w:r>
          </w:p>
          <w:p w14:paraId="0D97302C" w14:textId="77777777" w:rsidR="00143734" w:rsidRDefault="00143734" w:rsidP="003E2786">
            <w:pPr>
              <w:pStyle w:val="TableHeading"/>
              <w:spacing w:after="0"/>
            </w:pPr>
            <w:r>
              <w:t>CART/</w:t>
            </w:r>
            <w:r>
              <w:br/>
              <w:t>Streamtext integration</w:t>
            </w:r>
          </w:p>
        </w:tc>
        <w:tc>
          <w:tcPr>
            <w:tcW w:w="1080"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7C1FB191" w14:textId="77777777" w:rsidR="00143734" w:rsidRDefault="00143734" w:rsidP="003E2786">
            <w:pPr>
              <w:pStyle w:val="TableHeading"/>
              <w:spacing w:after="0"/>
            </w:pPr>
            <w:r>
              <w:t>Caption Support: ASR integration</w:t>
            </w:r>
          </w:p>
        </w:tc>
        <w:tc>
          <w:tcPr>
            <w:tcW w:w="1095"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66EC009C" w14:textId="77777777" w:rsidR="00143734" w:rsidRDefault="00143734" w:rsidP="003E2786">
            <w:pPr>
              <w:pStyle w:val="TableHeading"/>
              <w:spacing w:after="0"/>
            </w:pPr>
            <w:r>
              <w:t>Caption Support: Can turn on/off and customize captions</w:t>
            </w:r>
          </w:p>
        </w:tc>
        <w:tc>
          <w:tcPr>
            <w:tcW w:w="1153"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06E0411C" w14:textId="77777777" w:rsidR="00143734" w:rsidRDefault="00143734" w:rsidP="003E2786">
            <w:pPr>
              <w:pStyle w:val="TableHeading"/>
              <w:spacing w:after="0"/>
            </w:pPr>
            <w:r>
              <w:t>Relay Service integration via phone number</w:t>
            </w:r>
          </w:p>
        </w:tc>
        <w:tc>
          <w:tcPr>
            <w:tcW w:w="992"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642E79E1" w14:textId="77777777" w:rsidR="00143734" w:rsidRDefault="00143734" w:rsidP="003E2786">
            <w:pPr>
              <w:pStyle w:val="TableHeading"/>
              <w:spacing w:after="0"/>
            </w:pPr>
            <w:r>
              <w:t>Pin sign language interpreter when video follows voice</w:t>
            </w:r>
          </w:p>
        </w:tc>
        <w:tc>
          <w:tcPr>
            <w:tcW w:w="1080"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66069B1B" w14:textId="77777777" w:rsidR="00143734" w:rsidRDefault="00143734" w:rsidP="003E2786">
            <w:pPr>
              <w:pStyle w:val="TableHeading"/>
              <w:spacing w:after="0"/>
            </w:pPr>
            <w:r>
              <w:t>Participant can enlarge or pin videos</w:t>
            </w:r>
          </w:p>
        </w:tc>
        <w:tc>
          <w:tcPr>
            <w:tcW w:w="1260"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26794A01" w14:textId="77777777" w:rsidR="00143734" w:rsidRDefault="00143734" w:rsidP="003E2786">
            <w:pPr>
              <w:pStyle w:val="TableHeading"/>
              <w:spacing w:after="0"/>
            </w:pPr>
            <w:r>
              <w:t xml:space="preserve">Participant can see screen share and enlarged video </w:t>
            </w:r>
          </w:p>
        </w:tc>
        <w:tc>
          <w:tcPr>
            <w:tcW w:w="990"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1618D11F" w14:textId="77777777" w:rsidR="00143734" w:rsidRDefault="00143734" w:rsidP="003E2786">
            <w:pPr>
              <w:pStyle w:val="TableHeading"/>
              <w:spacing w:after="0"/>
            </w:pPr>
            <w:r>
              <w:t>Has text chat and prominent visual text notices</w:t>
            </w:r>
          </w:p>
        </w:tc>
        <w:tc>
          <w:tcPr>
            <w:tcW w:w="1201" w:type="dxa"/>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511B540C" w14:textId="77777777" w:rsidR="00143734" w:rsidRDefault="00143734" w:rsidP="003E2786">
            <w:pPr>
              <w:pStyle w:val="TableHeading"/>
              <w:spacing w:after="0"/>
            </w:pPr>
            <w:r>
              <w:t xml:space="preserve"># of videos that can be shown with good quality at the same time </w:t>
            </w:r>
          </w:p>
        </w:tc>
        <w:tc>
          <w:tcPr>
            <w:tcW w:w="0" w:type="auto"/>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20743CA2" w14:textId="77777777" w:rsidR="00143734" w:rsidRDefault="00143734" w:rsidP="003E2786">
            <w:pPr>
              <w:pStyle w:val="TableHeading"/>
              <w:spacing w:after="0"/>
            </w:pPr>
            <w:r>
              <w:t>Gallery view</w:t>
            </w:r>
          </w:p>
        </w:tc>
        <w:tc>
          <w:tcPr>
            <w:tcW w:w="0" w:type="auto"/>
            <w:tcBorders>
              <w:top w:val="single" w:sz="6" w:space="0" w:color="CCCCCC"/>
              <w:left w:val="single" w:sz="6" w:space="0" w:color="CCCCCC"/>
              <w:bottom w:val="single" w:sz="6" w:space="0" w:color="000000"/>
              <w:right w:val="single" w:sz="6" w:space="0" w:color="CCCCCC"/>
            </w:tcBorders>
            <w:shd w:val="clear" w:color="auto" w:fill="D9E2F3" w:themeFill="accent1" w:themeFillTint="33"/>
            <w:tcMar>
              <w:top w:w="40" w:type="dxa"/>
              <w:left w:w="40" w:type="dxa"/>
              <w:bottom w:w="40" w:type="dxa"/>
              <w:right w:w="40" w:type="dxa"/>
            </w:tcMar>
            <w:vAlign w:val="bottom"/>
          </w:tcPr>
          <w:p w14:paraId="2646D863" w14:textId="77777777" w:rsidR="00143734" w:rsidRDefault="00143734" w:rsidP="003E2786">
            <w:pPr>
              <w:pStyle w:val="TableHeading"/>
              <w:spacing w:after="0"/>
            </w:pPr>
            <w:r>
              <w:t>Co-  Hosting</w:t>
            </w:r>
          </w:p>
        </w:tc>
      </w:tr>
      <w:tr w:rsidR="00D33908" w14:paraId="258511FA" w14:textId="77777777" w:rsidTr="003E2786">
        <w:trPr>
          <w:cantSplit/>
          <w:trHeight w:val="20"/>
          <w:jc w:val="center"/>
        </w:trPr>
        <w:tc>
          <w:tcPr>
            <w:tcW w:w="143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0C7F87B" w14:textId="77777777" w:rsidR="00143734" w:rsidRDefault="00143734" w:rsidP="003E2786">
            <w:pPr>
              <w:pStyle w:val="TableBody"/>
              <w:spacing w:after="0"/>
            </w:pPr>
            <w:r>
              <w:t>Adobe Connect</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2943C1B" w14:textId="77777777" w:rsidR="00143734" w:rsidRDefault="00143734" w:rsidP="003E2786">
            <w:pPr>
              <w:pStyle w:val="TableBody"/>
              <w:spacing w:after="0"/>
            </w:pPr>
            <w:r>
              <w:t>Yes</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BD2C534" w14:textId="77777777" w:rsidR="00143734" w:rsidRDefault="00143734" w:rsidP="003E2786">
            <w:pPr>
              <w:pStyle w:val="TableBody"/>
              <w:spacing w:after="0"/>
            </w:pPr>
            <w:r>
              <w:t>No</w:t>
            </w:r>
          </w:p>
        </w:tc>
        <w:tc>
          <w:tcPr>
            <w:tcW w:w="10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FE43D3A" w14:textId="77777777" w:rsidR="00143734" w:rsidRDefault="00143734" w:rsidP="003E2786">
            <w:pPr>
              <w:pStyle w:val="TableBody"/>
              <w:spacing w:after="0"/>
            </w:pPr>
            <w:r>
              <w:t>PC and Mac only</w:t>
            </w:r>
            <w:r>
              <w:rPr>
                <w:vertAlign w:val="superscript"/>
              </w:rPr>
              <w:footnoteReference w:id="12"/>
            </w:r>
          </w:p>
        </w:tc>
        <w:tc>
          <w:tcPr>
            <w:tcW w:w="11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20D8BBF" w14:textId="77777777" w:rsidR="00143734" w:rsidRDefault="00143734" w:rsidP="003E2786">
            <w:pPr>
              <w:pStyle w:val="TableBody"/>
              <w:spacing w:after="0"/>
            </w:pPr>
            <w:r>
              <w:t>External</w:t>
            </w:r>
            <w:r>
              <w:rPr>
                <w:vertAlign w:val="superscript"/>
              </w:rPr>
              <w:footnoteReference w:id="13"/>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B708A3" w14:textId="77777777" w:rsidR="00143734" w:rsidRDefault="00143734" w:rsidP="003E2786">
            <w:pPr>
              <w:pStyle w:val="TableBody"/>
              <w:spacing w:after="0"/>
            </w:pPr>
            <w:r>
              <w:t>No</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D31E6C" w14:textId="77777777" w:rsidR="00143734" w:rsidRDefault="00143734" w:rsidP="003E2786">
            <w:pPr>
              <w:pStyle w:val="TableBody"/>
              <w:spacing w:after="0"/>
            </w:pPr>
            <w:r>
              <w:t>No. Only the host can</w:t>
            </w:r>
          </w:p>
        </w:tc>
        <w:tc>
          <w:tcPr>
            <w:tcW w:w="12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242DA78" w14:textId="77777777" w:rsidR="00143734" w:rsidRDefault="00143734" w:rsidP="003E2786">
            <w:pPr>
              <w:pStyle w:val="TableBody"/>
              <w:spacing w:after="0"/>
            </w:pPr>
            <w:r>
              <w:t>Yes</w:t>
            </w:r>
          </w:p>
        </w:tc>
        <w:tc>
          <w:tcPr>
            <w:tcW w:w="9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9C40123" w14:textId="77777777" w:rsidR="00143734" w:rsidRDefault="00143734" w:rsidP="003E2786">
            <w:pPr>
              <w:pStyle w:val="TableBody"/>
              <w:spacing w:after="0"/>
            </w:pPr>
            <w:r>
              <w:t>Yes</w:t>
            </w:r>
          </w:p>
        </w:tc>
        <w:tc>
          <w:tcPr>
            <w:tcW w:w="12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F6C89DB" w14:textId="77777777" w:rsidR="00143734" w:rsidRDefault="00143734" w:rsidP="003E2786">
            <w:pPr>
              <w:pStyle w:val="TableBody"/>
              <w:spacing w:after="0"/>
            </w:pPr>
            <w:r>
              <w:t>At least 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1F1975D" w14:textId="77777777" w:rsidR="00143734" w:rsidRDefault="00143734" w:rsidP="003E2786">
            <w:pPr>
              <w:pStyle w:val="TableBody"/>
              <w:spacing w:after="0"/>
            </w:pPr>
            <w:r>
              <w:t>Yes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48878E" w14:textId="77777777" w:rsidR="00143734" w:rsidRDefault="00143734" w:rsidP="003E2786">
            <w:pPr>
              <w:pStyle w:val="TableBody"/>
              <w:spacing w:after="0"/>
            </w:pPr>
            <w:r>
              <w:t>Yes</w:t>
            </w:r>
          </w:p>
        </w:tc>
      </w:tr>
      <w:tr w:rsidR="00D33908" w14:paraId="039EA6E4" w14:textId="77777777" w:rsidTr="003E2786">
        <w:trPr>
          <w:cantSplit/>
          <w:trHeight w:val="20"/>
          <w:jc w:val="center"/>
        </w:trPr>
        <w:tc>
          <w:tcPr>
            <w:tcW w:w="143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7D0F70EB" w14:textId="77777777" w:rsidR="00143734" w:rsidRDefault="00143734" w:rsidP="003E2786">
            <w:pPr>
              <w:pStyle w:val="TableBody"/>
              <w:spacing w:after="0"/>
            </w:pPr>
            <w:r>
              <w:t>BlueJeans</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46BE40D" w14:textId="77777777" w:rsidR="00143734" w:rsidRDefault="00143734" w:rsidP="003E2786">
            <w:pPr>
              <w:pStyle w:val="TableBody"/>
              <w:spacing w:after="0"/>
            </w:pPr>
            <w:r>
              <w:t>No</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A18AA27" w14:textId="77777777" w:rsidR="00143734" w:rsidRDefault="00143734" w:rsidP="003E2786">
            <w:pPr>
              <w:pStyle w:val="TableBody"/>
              <w:spacing w:after="0"/>
            </w:pPr>
            <w:r>
              <w:t>No</w:t>
            </w:r>
          </w:p>
        </w:tc>
        <w:tc>
          <w:tcPr>
            <w:tcW w:w="10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F44756F" w14:textId="77777777" w:rsidR="00143734" w:rsidRDefault="00143734" w:rsidP="003E2786">
            <w:pPr>
              <w:pStyle w:val="TableBody"/>
              <w:spacing w:after="0"/>
            </w:pPr>
            <w:r>
              <w:t>N/A</w:t>
            </w:r>
            <w:r>
              <w:rPr>
                <w:vertAlign w:val="superscript"/>
              </w:rPr>
              <w:footnoteReference w:id="14"/>
            </w:r>
          </w:p>
        </w:tc>
        <w:tc>
          <w:tcPr>
            <w:tcW w:w="1153"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059DFF0" w14:textId="77777777" w:rsidR="00143734" w:rsidRDefault="00143734" w:rsidP="003E2786">
            <w:pPr>
              <w:pStyle w:val="TableBody"/>
              <w:spacing w:after="0"/>
            </w:pPr>
            <w:r>
              <w:t>Yes</w:t>
            </w:r>
          </w:p>
        </w:tc>
        <w:tc>
          <w:tcPr>
            <w:tcW w:w="992"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2F0F85E" w14:textId="77777777" w:rsidR="00143734" w:rsidRDefault="00143734" w:rsidP="003E2786">
            <w:pPr>
              <w:pStyle w:val="TableBody"/>
              <w:spacing w:after="0"/>
            </w:pPr>
            <w:r>
              <w:t>No</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175037E" w14:textId="77777777" w:rsidR="00143734" w:rsidRDefault="00143734" w:rsidP="003E2786">
            <w:pPr>
              <w:pStyle w:val="TableBody"/>
              <w:spacing w:after="0"/>
            </w:pPr>
            <w:r>
              <w:t>In speaker view only</w:t>
            </w:r>
          </w:p>
        </w:tc>
        <w:tc>
          <w:tcPr>
            <w:tcW w:w="126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113CE57" w14:textId="77777777" w:rsidR="00143734" w:rsidRDefault="00143734" w:rsidP="003E2786">
            <w:pPr>
              <w:pStyle w:val="TableBody"/>
              <w:spacing w:after="0"/>
            </w:pPr>
            <w:r>
              <w:t>Yes</w:t>
            </w:r>
          </w:p>
        </w:tc>
        <w:tc>
          <w:tcPr>
            <w:tcW w:w="99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FDFCA15" w14:textId="77777777" w:rsidR="00143734" w:rsidRDefault="00143734" w:rsidP="003E2786">
            <w:pPr>
              <w:pStyle w:val="TableBody"/>
              <w:spacing w:after="0"/>
            </w:pPr>
            <w:r>
              <w:t>Limited</w:t>
            </w:r>
            <w:r>
              <w:rPr>
                <w:vertAlign w:val="superscript"/>
              </w:rPr>
              <w:footnoteReference w:id="15"/>
            </w:r>
          </w:p>
        </w:tc>
        <w:tc>
          <w:tcPr>
            <w:tcW w:w="12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7583F73" w14:textId="77777777" w:rsidR="00143734" w:rsidRDefault="00143734" w:rsidP="003E2786">
            <w:pPr>
              <w:pStyle w:val="TableBody"/>
              <w:spacing w:after="0"/>
            </w:pPr>
            <w:r>
              <w:t>At least 6</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F8704FB" w14:textId="77777777" w:rsidR="00143734" w:rsidRDefault="00143734" w:rsidP="003E2786">
            <w:pPr>
              <w:pStyle w:val="TableBody"/>
              <w:spacing w:after="0"/>
            </w:pPr>
            <w:r>
              <w:t>Yes</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9D6E1BB" w14:textId="77777777" w:rsidR="00143734" w:rsidRDefault="00143734" w:rsidP="003E2786">
            <w:pPr>
              <w:pStyle w:val="TableBody"/>
              <w:spacing w:after="0"/>
            </w:pPr>
            <w:r>
              <w:t>Yes</w:t>
            </w:r>
            <w:r>
              <w:rPr>
                <w:vertAlign w:val="superscript"/>
              </w:rPr>
              <w:footnoteReference w:id="16"/>
            </w:r>
          </w:p>
        </w:tc>
      </w:tr>
      <w:tr w:rsidR="00D33908" w14:paraId="5746D321" w14:textId="77777777" w:rsidTr="003E2786">
        <w:trPr>
          <w:cantSplit/>
          <w:trHeight w:val="20"/>
          <w:jc w:val="center"/>
        </w:trPr>
        <w:tc>
          <w:tcPr>
            <w:tcW w:w="143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8753824" w14:textId="77777777" w:rsidR="00143734" w:rsidRDefault="00143734" w:rsidP="003E2786">
            <w:pPr>
              <w:pStyle w:val="TableBody"/>
              <w:spacing w:after="0"/>
            </w:pPr>
            <w:r>
              <w:t>Cisco WebEx</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3F7A993" w14:textId="77777777" w:rsidR="00143734" w:rsidRDefault="00143734" w:rsidP="003E2786">
            <w:pPr>
              <w:pStyle w:val="TableBody"/>
              <w:spacing w:after="0"/>
            </w:pPr>
            <w:r>
              <w:t>PC and Mac only</w:t>
            </w:r>
            <w:r>
              <w:rPr>
                <w:vertAlign w:val="superscript"/>
              </w:rPr>
              <w:footnoteReference w:id="17"/>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F3146D8" w14:textId="77777777" w:rsidR="00143734" w:rsidRDefault="00143734" w:rsidP="003E2786">
            <w:pPr>
              <w:pStyle w:val="TableBody"/>
              <w:spacing w:after="0"/>
            </w:pPr>
            <w:r>
              <w:t>No</w:t>
            </w:r>
          </w:p>
        </w:tc>
        <w:tc>
          <w:tcPr>
            <w:tcW w:w="10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778928" w14:textId="77777777" w:rsidR="00143734" w:rsidRDefault="00143734" w:rsidP="003E2786">
            <w:pPr>
              <w:pStyle w:val="TableBody"/>
              <w:spacing w:after="0"/>
            </w:pPr>
            <w:r>
              <w:t>No</w:t>
            </w:r>
          </w:p>
        </w:tc>
        <w:tc>
          <w:tcPr>
            <w:tcW w:w="11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4D5C8AE" w14:textId="77777777" w:rsidR="00143734" w:rsidRDefault="00143734" w:rsidP="003E2786">
            <w:pPr>
              <w:pStyle w:val="TableBody"/>
              <w:spacing w:after="0"/>
            </w:pPr>
            <w:r>
              <w:t>Yes</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8808C83" w14:textId="77777777" w:rsidR="00143734" w:rsidRDefault="00143734" w:rsidP="003E2786">
            <w:pPr>
              <w:pStyle w:val="TableBody"/>
              <w:spacing w:after="0"/>
            </w:pPr>
            <w:r>
              <w:t>Up to one video</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69B3423" w14:textId="77777777" w:rsidR="00143734" w:rsidRDefault="00143734" w:rsidP="003E2786">
            <w:pPr>
              <w:pStyle w:val="TableBody"/>
              <w:spacing w:after="0"/>
            </w:pPr>
            <w:r>
              <w:t>Yes</w:t>
            </w:r>
            <w:r>
              <w:rPr>
                <w:vertAlign w:val="superscript"/>
              </w:rPr>
              <w:footnoteReference w:id="18"/>
            </w:r>
          </w:p>
        </w:tc>
        <w:tc>
          <w:tcPr>
            <w:tcW w:w="12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B2C058B" w14:textId="77777777" w:rsidR="00143734" w:rsidRDefault="00143734" w:rsidP="003E2786">
            <w:pPr>
              <w:pStyle w:val="TableBody"/>
              <w:spacing w:after="0"/>
            </w:pPr>
            <w:r>
              <w:t>Yes</w:t>
            </w:r>
          </w:p>
        </w:tc>
        <w:tc>
          <w:tcPr>
            <w:tcW w:w="9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2DD95BC" w14:textId="77777777" w:rsidR="00143734" w:rsidRDefault="00143734" w:rsidP="003E2786">
            <w:pPr>
              <w:pStyle w:val="TableBody"/>
              <w:spacing w:after="0"/>
            </w:pPr>
            <w:r>
              <w:t>Yes</w:t>
            </w:r>
            <w:r>
              <w:rPr>
                <w:vertAlign w:val="superscript"/>
              </w:rPr>
              <w:footnoteReference w:id="19"/>
            </w:r>
          </w:p>
        </w:tc>
        <w:tc>
          <w:tcPr>
            <w:tcW w:w="12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9C6513F" w14:textId="77777777" w:rsidR="00143734" w:rsidRDefault="00143734" w:rsidP="003E2786">
            <w:pPr>
              <w:pStyle w:val="TableBody"/>
              <w:spacing w:after="0"/>
            </w:pPr>
            <w:r>
              <w:t xml:space="preserve">At least 6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827B2C9" w14:textId="77777777" w:rsidR="00143734" w:rsidRDefault="00143734" w:rsidP="003E2786">
            <w:pPr>
              <w:pStyle w:val="TableBody"/>
              <w:spacing w:after="0"/>
            </w:pPr>
            <w:r>
              <w:t>Yes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60274C6" w14:textId="77777777" w:rsidR="00143734" w:rsidRDefault="00143734" w:rsidP="003E2786">
            <w:pPr>
              <w:pStyle w:val="TableBody"/>
              <w:spacing w:after="0"/>
            </w:pPr>
            <w:r>
              <w:t>Yes</w:t>
            </w:r>
          </w:p>
        </w:tc>
      </w:tr>
      <w:tr w:rsidR="00D33908" w14:paraId="01758811" w14:textId="77777777" w:rsidTr="003E2786">
        <w:trPr>
          <w:cantSplit/>
          <w:trHeight w:val="20"/>
          <w:jc w:val="center"/>
        </w:trPr>
        <w:tc>
          <w:tcPr>
            <w:tcW w:w="143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531E74ED" w14:textId="77777777" w:rsidR="00143734" w:rsidRDefault="00143734" w:rsidP="003E2786">
            <w:pPr>
              <w:pStyle w:val="TableBody"/>
              <w:spacing w:after="0"/>
            </w:pPr>
            <w:r>
              <w:t>Google Meet</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2787D11" w14:textId="77777777" w:rsidR="00143734" w:rsidRDefault="00143734" w:rsidP="003E2786">
            <w:pPr>
              <w:pStyle w:val="TableBody"/>
              <w:spacing w:after="0"/>
            </w:pPr>
            <w:r>
              <w:t>No</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362CE43" w14:textId="77777777" w:rsidR="00143734" w:rsidRDefault="00143734" w:rsidP="003E2786">
            <w:pPr>
              <w:pStyle w:val="TableBody"/>
              <w:spacing w:after="0"/>
            </w:pPr>
            <w:r>
              <w:t>Yes, has speaker ID</w:t>
            </w:r>
            <w:r>
              <w:rPr>
                <w:vertAlign w:val="superscript"/>
              </w:rPr>
              <w:footnoteReference w:id="20"/>
            </w:r>
            <w:r>
              <w:t xml:space="preserve"> </w:t>
            </w:r>
          </w:p>
        </w:tc>
        <w:tc>
          <w:tcPr>
            <w:tcW w:w="10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08FDF6B" w14:textId="77777777" w:rsidR="00143734" w:rsidRDefault="00143734" w:rsidP="003E2786">
            <w:pPr>
              <w:pStyle w:val="TableBody"/>
              <w:spacing w:after="0"/>
            </w:pPr>
            <w:r>
              <w:t>On/Off: Yes, custom: No</w:t>
            </w:r>
          </w:p>
        </w:tc>
        <w:tc>
          <w:tcPr>
            <w:tcW w:w="1153"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A7AE81C" w14:textId="77777777" w:rsidR="00143734" w:rsidRDefault="00143734" w:rsidP="003E2786">
            <w:pPr>
              <w:pStyle w:val="TableBody"/>
              <w:spacing w:after="0"/>
            </w:pPr>
            <w:r>
              <w:t>Yes</w:t>
            </w:r>
          </w:p>
        </w:tc>
        <w:tc>
          <w:tcPr>
            <w:tcW w:w="992"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82744A6" w14:textId="77777777" w:rsidR="00143734" w:rsidRDefault="00143734" w:rsidP="003E2786">
            <w:pPr>
              <w:pStyle w:val="TableBody"/>
              <w:spacing w:after="0"/>
            </w:pPr>
            <w:r>
              <w:t>Up to one video</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5818347" w14:textId="77777777" w:rsidR="00143734" w:rsidRDefault="00143734" w:rsidP="003E2786">
            <w:pPr>
              <w:pStyle w:val="TableBody"/>
              <w:spacing w:after="0"/>
            </w:pPr>
            <w:r>
              <w:t>Limited</w:t>
            </w:r>
            <w:r>
              <w:rPr>
                <w:vertAlign w:val="superscript"/>
              </w:rPr>
              <w:footnoteReference w:id="21"/>
            </w:r>
          </w:p>
        </w:tc>
        <w:tc>
          <w:tcPr>
            <w:tcW w:w="126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495EEB8" w14:textId="77777777" w:rsidR="00143734" w:rsidRDefault="00143734" w:rsidP="003E2786">
            <w:pPr>
              <w:pStyle w:val="TableBody"/>
              <w:spacing w:after="0"/>
            </w:pPr>
            <w:r>
              <w:t>No screen sharing</w:t>
            </w:r>
          </w:p>
        </w:tc>
        <w:tc>
          <w:tcPr>
            <w:tcW w:w="99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6F3DDF7" w14:textId="77777777" w:rsidR="00143734" w:rsidRDefault="00143734" w:rsidP="003E2786">
            <w:pPr>
              <w:pStyle w:val="TableBody"/>
              <w:spacing w:after="0"/>
            </w:pPr>
            <w:r>
              <w:t>Limited</w:t>
            </w:r>
            <w:r>
              <w:rPr>
                <w:vertAlign w:val="superscript"/>
              </w:rPr>
              <w:footnoteReference w:id="22"/>
            </w:r>
          </w:p>
        </w:tc>
        <w:tc>
          <w:tcPr>
            <w:tcW w:w="12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4970D64" w14:textId="77777777" w:rsidR="00143734" w:rsidRDefault="00143734" w:rsidP="003E2786">
            <w:pPr>
              <w:pStyle w:val="TableBody"/>
              <w:spacing w:after="0"/>
            </w:pPr>
            <w:r>
              <w:t>Up to 3</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1E9AC2A" w14:textId="77777777" w:rsidR="00143734" w:rsidRDefault="00143734" w:rsidP="003E2786">
            <w:pPr>
              <w:pStyle w:val="TableBody"/>
              <w:spacing w:after="0"/>
            </w:pPr>
            <w:r>
              <w:t>Limited</w:t>
            </w:r>
            <w:r>
              <w:rPr>
                <w:vertAlign w:val="superscript"/>
              </w:rPr>
              <w:footnoteReference w:id="23"/>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C7EA464" w14:textId="77777777" w:rsidR="00143734" w:rsidRDefault="00143734" w:rsidP="003E2786">
            <w:pPr>
              <w:pStyle w:val="TableBody"/>
              <w:spacing w:after="0"/>
            </w:pPr>
            <w:r>
              <w:t>No</w:t>
            </w:r>
          </w:p>
        </w:tc>
      </w:tr>
      <w:tr w:rsidR="00D33908" w14:paraId="27042AA8" w14:textId="77777777" w:rsidTr="003E2786">
        <w:trPr>
          <w:cantSplit/>
          <w:trHeight w:val="20"/>
          <w:jc w:val="center"/>
        </w:trPr>
        <w:tc>
          <w:tcPr>
            <w:tcW w:w="143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4F1B1B2" w14:textId="77777777" w:rsidR="00143734" w:rsidRDefault="00143734" w:rsidP="003E2786">
            <w:pPr>
              <w:pStyle w:val="TableBody"/>
              <w:spacing w:after="0"/>
            </w:pPr>
            <w:r>
              <w:t>Goto</w:t>
            </w:r>
            <w:r>
              <w:br/>
              <w:t>Meeting</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73AB204" w14:textId="77777777" w:rsidR="00143734" w:rsidRDefault="00143734" w:rsidP="003E2786">
            <w:pPr>
              <w:pStyle w:val="TableBody"/>
              <w:spacing w:after="0"/>
            </w:pPr>
            <w:r>
              <w:t>No</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1CBF2D8" w14:textId="77777777" w:rsidR="00143734" w:rsidRDefault="00143734" w:rsidP="003E2786">
            <w:pPr>
              <w:pStyle w:val="TableBody"/>
              <w:spacing w:after="0"/>
            </w:pPr>
            <w:r>
              <w:t>No</w:t>
            </w:r>
          </w:p>
        </w:tc>
        <w:tc>
          <w:tcPr>
            <w:tcW w:w="10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830312E" w14:textId="77777777" w:rsidR="00143734" w:rsidRDefault="00143734" w:rsidP="003E2786">
            <w:pPr>
              <w:pStyle w:val="TableBody"/>
              <w:spacing w:after="0"/>
            </w:pPr>
            <w:r>
              <w:t>N/A</w:t>
            </w:r>
          </w:p>
        </w:tc>
        <w:tc>
          <w:tcPr>
            <w:tcW w:w="11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BDB98A9" w14:textId="77777777" w:rsidR="00143734" w:rsidRDefault="00143734" w:rsidP="003E2786">
            <w:pPr>
              <w:pStyle w:val="TableBody"/>
              <w:spacing w:after="0"/>
            </w:pPr>
            <w:r>
              <w:t>Yes</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27C7B43" w14:textId="77777777" w:rsidR="00143734" w:rsidRDefault="00143734" w:rsidP="003E2786">
            <w:pPr>
              <w:pStyle w:val="TableBody"/>
              <w:spacing w:after="0"/>
            </w:pPr>
            <w:r>
              <w:t>Multiple videos</w:t>
            </w:r>
            <w:r>
              <w:rPr>
                <w:vertAlign w:val="superscript"/>
              </w:rPr>
              <w:footnoteReference w:id="24"/>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C919A85" w14:textId="77777777" w:rsidR="00143734" w:rsidRDefault="00143734" w:rsidP="003E2786">
            <w:pPr>
              <w:pStyle w:val="TableBody"/>
              <w:spacing w:after="0"/>
            </w:pPr>
            <w:r>
              <w:t>Yes</w:t>
            </w:r>
            <w:r>
              <w:rPr>
                <w:vertAlign w:val="superscript"/>
              </w:rPr>
              <w:footnoteReference w:id="25"/>
            </w:r>
          </w:p>
        </w:tc>
        <w:tc>
          <w:tcPr>
            <w:tcW w:w="12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8E1D0B6" w14:textId="77777777" w:rsidR="00143734" w:rsidRDefault="00143734" w:rsidP="003E2786">
            <w:pPr>
              <w:pStyle w:val="TableBody"/>
              <w:spacing w:after="0"/>
            </w:pPr>
            <w:r>
              <w:t>Yes</w:t>
            </w:r>
          </w:p>
        </w:tc>
        <w:tc>
          <w:tcPr>
            <w:tcW w:w="9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A109B46" w14:textId="77777777" w:rsidR="00143734" w:rsidRDefault="00143734" w:rsidP="003E2786">
            <w:pPr>
              <w:pStyle w:val="TableBody"/>
              <w:spacing w:after="0"/>
            </w:pPr>
            <w:r>
              <w:t>Yes</w:t>
            </w:r>
            <w:r>
              <w:rPr>
                <w:vertAlign w:val="superscript"/>
              </w:rPr>
              <w:footnoteReference w:id="26"/>
            </w:r>
          </w:p>
        </w:tc>
        <w:tc>
          <w:tcPr>
            <w:tcW w:w="12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A21BF5E" w14:textId="77777777" w:rsidR="00143734" w:rsidRDefault="00143734" w:rsidP="003E2786">
            <w:pPr>
              <w:pStyle w:val="TableBody"/>
              <w:spacing w:after="0"/>
            </w:pPr>
            <w:r>
              <w:t>At least 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BB76B91" w14:textId="77777777" w:rsidR="00143734" w:rsidRDefault="00143734" w:rsidP="003E2786">
            <w:pPr>
              <w:pStyle w:val="TableBody"/>
              <w:spacing w:after="0"/>
            </w:pPr>
            <w:r>
              <w:t>Yes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6A65B2A" w14:textId="77777777" w:rsidR="00143734" w:rsidRDefault="00143734" w:rsidP="003E2786">
            <w:pPr>
              <w:pStyle w:val="TableBody"/>
              <w:spacing w:after="0"/>
            </w:pPr>
            <w:r>
              <w:t>Yes</w:t>
            </w:r>
            <w:r>
              <w:rPr>
                <w:vertAlign w:val="superscript"/>
              </w:rPr>
              <w:footnoteReference w:id="27"/>
            </w:r>
          </w:p>
        </w:tc>
      </w:tr>
      <w:tr w:rsidR="00D33908" w14:paraId="6E73DF1E" w14:textId="77777777" w:rsidTr="003E2786">
        <w:trPr>
          <w:cantSplit/>
          <w:trHeight w:val="20"/>
          <w:jc w:val="center"/>
        </w:trPr>
        <w:tc>
          <w:tcPr>
            <w:tcW w:w="1432" w:type="dxa"/>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65E5450C" w14:textId="77777777" w:rsidR="00143734" w:rsidRDefault="00143734" w:rsidP="003E2786">
            <w:pPr>
              <w:pStyle w:val="TableBody"/>
              <w:spacing w:after="0"/>
            </w:pPr>
            <w:r>
              <w:t>Jitsi (Hosted at meet.jit.si)</w:t>
            </w:r>
          </w:p>
        </w:tc>
        <w:tc>
          <w:tcPr>
            <w:tcW w:w="108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796CB48" w14:textId="77777777" w:rsidR="00143734" w:rsidRDefault="00143734" w:rsidP="003E2786">
            <w:pPr>
              <w:pStyle w:val="TableBody"/>
              <w:spacing w:after="0"/>
            </w:pPr>
            <w:r>
              <w:t>No</w:t>
            </w:r>
          </w:p>
        </w:tc>
        <w:tc>
          <w:tcPr>
            <w:tcW w:w="108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F014E8A" w14:textId="77777777" w:rsidR="00143734" w:rsidRDefault="00143734" w:rsidP="003E2786">
            <w:pPr>
              <w:pStyle w:val="TableBody"/>
              <w:spacing w:after="0"/>
            </w:pPr>
            <w:r>
              <w:t>No</w:t>
            </w:r>
          </w:p>
        </w:tc>
        <w:tc>
          <w:tcPr>
            <w:tcW w:w="109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02EE59D" w14:textId="77777777" w:rsidR="00143734" w:rsidRDefault="00143734" w:rsidP="003E2786">
            <w:pPr>
              <w:pStyle w:val="TableBody"/>
              <w:spacing w:after="0"/>
            </w:pPr>
            <w:r>
              <w:t>N/A</w:t>
            </w:r>
          </w:p>
        </w:tc>
        <w:tc>
          <w:tcPr>
            <w:tcW w:w="1153"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22B9DF0" w14:textId="77777777" w:rsidR="00143734" w:rsidRDefault="00143734" w:rsidP="003E2786">
            <w:pPr>
              <w:pStyle w:val="TableBody"/>
              <w:spacing w:after="0"/>
            </w:pPr>
            <w:r>
              <w:t>Yes</w:t>
            </w:r>
          </w:p>
        </w:tc>
        <w:tc>
          <w:tcPr>
            <w:tcW w:w="992"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E56DB3A" w14:textId="77777777" w:rsidR="00143734" w:rsidRDefault="00143734" w:rsidP="003E2786">
            <w:pPr>
              <w:pStyle w:val="TableBody"/>
              <w:spacing w:after="0"/>
            </w:pPr>
            <w:r>
              <w:t>No</w:t>
            </w:r>
          </w:p>
        </w:tc>
        <w:tc>
          <w:tcPr>
            <w:tcW w:w="108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5250E25" w14:textId="77777777" w:rsidR="00143734" w:rsidRDefault="00143734" w:rsidP="003E2786">
            <w:pPr>
              <w:pStyle w:val="TableBody"/>
              <w:spacing w:after="0"/>
            </w:pPr>
            <w:r>
              <w:t>Yes</w:t>
            </w:r>
          </w:p>
        </w:tc>
        <w:tc>
          <w:tcPr>
            <w:tcW w:w="126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99C859F" w14:textId="77777777" w:rsidR="00143734" w:rsidRDefault="00143734" w:rsidP="003E2786">
            <w:pPr>
              <w:pStyle w:val="TableBody"/>
              <w:spacing w:after="0"/>
            </w:pPr>
            <w:r>
              <w:t>No</w:t>
            </w:r>
          </w:p>
        </w:tc>
        <w:tc>
          <w:tcPr>
            <w:tcW w:w="99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4BEF90E" w14:textId="77777777" w:rsidR="00143734" w:rsidRDefault="00143734" w:rsidP="003E2786">
            <w:pPr>
              <w:pStyle w:val="TableBody"/>
              <w:spacing w:after="0"/>
            </w:pPr>
            <w:r>
              <w:t>Yes</w:t>
            </w:r>
            <w:r>
              <w:rPr>
                <w:vertAlign w:val="superscript"/>
              </w:rPr>
              <w:footnoteReference w:id="28"/>
            </w:r>
          </w:p>
        </w:tc>
        <w:tc>
          <w:tcPr>
            <w:tcW w:w="1201"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D657530" w14:textId="77777777" w:rsidR="00143734" w:rsidRDefault="00143734" w:rsidP="003E2786">
            <w:pPr>
              <w:pStyle w:val="TableBody"/>
              <w:spacing w:after="0"/>
            </w:pPr>
            <w:r>
              <w:t>At least 8</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84D89E2" w14:textId="77777777" w:rsidR="00143734" w:rsidRDefault="00143734" w:rsidP="003E2786">
            <w:pPr>
              <w:pStyle w:val="TableBody"/>
              <w:spacing w:after="0"/>
            </w:pPr>
            <w:r>
              <w:t>Yes</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1AF559A" w14:textId="77777777" w:rsidR="00143734" w:rsidRDefault="00143734" w:rsidP="003E2786">
            <w:pPr>
              <w:pStyle w:val="TableBody"/>
              <w:spacing w:after="0"/>
            </w:pPr>
            <w:r>
              <w:t>No</w:t>
            </w:r>
            <w:r>
              <w:rPr>
                <w:vertAlign w:val="superscript"/>
              </w:rPr>
              <w:footnoteReference w:id="29"/>
            </w:r>
          </w:p>
        </w:tc>
      </w:tr>
      <w:tr w:rsidR="00D33908" w14:paraId="01FE444D" w14:textId="77777777" w:rsidTr="003E2786">
        <w:trPr>
          <w:cantSplit/>
          <w:trHeight w:val="20"/>
          <w:jc w:val="center"/>
        </w:trPr>
        <w:tc>
          <w:tcPr>
            <w:tcW w:w="143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E436A92" w14:textId="77777777" w:rsidR="00143734" w:rsidRDefault="00143734" w:rsidP="003E2786">
            <w:pPr>
              <w:pStyle w:val="TableBody"/>
              <w:spacing w:after="0"/>
            </w:pPr>
            <w:r>
              <w:t>Lifesize</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B5C59CD" w14:textId="77777777" w:rsidR="00143734" w:rsidRDefault="00143734" w:rsidP="003E2786">
            <w:pPr>
              <w:pStyle w:val="TableBody"/>
              <w:spacing w:after="0"/>
            </w:pPr>
            <w:r>
              <w:t>No</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0EDE392" w14:textId="77777777" w:rsidR="00143734" w:rsidRDefault="00143734" w:rsidP="003E2786">
            <w:pPr>
              <w:pStyle w:val="TableBody"/>
              <w:spacing w:after="0"/>
            </w:pPr>
            <w:r>
              <w:t>No</w:t>
            </w:r>
          </w:p>
        </w:tc>
        <w:tc>
          <w:tcPr>
            <w:tcW w:w="10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1400034" w14:textId="77777777" w:rsidR="00143734" w:rsidRDefault="00143734" w:rsidP="003E2786">
            <w:pPr>
              <w:pStyle w:val="TableBody"/>
              <w:spacing w:after="0"/>
            </w:pPr>
            <w:r>
              <w:t>N/A</w:t>
            </w:r>
          </w:p>
        </w:tc>
        <w:tc>
          <w:tcPr>
            <w:tcW w:w="115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F548C27" w14:textId="77777777" w:rsidR="00143734" w:rsidRDefault="00143734" w:rsidP="003E2786">
            <w:pPr>
              <w:pStyle w:val="TableBody"/>
              <w:spacing w:after="0"/>
            </w:pPr>
            <w:r>
              <w:t>Upgrade</w:t>
            </w:r>
            <w:r>
              <w:rPr>
                <w:vertAlign w:val="superscript"/>
              </w:rPr>
              <w:footnoteReference w:id="30"/>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9919606" w14:textId="77777777" w:rsidR="00143734" w:rsidRDefault="00143734" w:rsidP="003E2786">
            <w:pPr>
              <w:pStyle w:val="TableBody"/>
              <w:spacing w:after="0"/>
            </w:pPr>
            <w:r>
              <w:t>No</w:t>
            </w:r>
          </w:p>
        </w:tc>
        <w:tc>
          <w:tcPr>
            <w:tcW w:w="108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135468F" w14:textId="77777777" w:rsidR="00143734" w:rsidRDefault="00143734" w:rsidP="003E2786">
            <w:pPr>
              <w:pStyle w:val="TableBody"/>
              <w:spacing w:after="0"/>
            </w:pPr>
            <w:r>
              <w:t>No</w:t>
            </w:r>
          </w:p>
        </w:tc>
        <w:tc>
          <w:tcPr>
            <w:tcW w:w="126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3E0C8BF" w14:textId="77777777" w:rsidR="00143734" w:rsidRDefault="00143734" w:rsidP="003E2786">
            <w:pPr>
              <w:pStyle w:val="TableBody"/>
              <w:spacing w:after="0"/>
            </w:pPr>
            <w:r>
              <w:t>No</w:t>
            </w:r>
          </w:p>
        </w:tc>
        <w:tc>
          <w:tcPr>
            <w:tcW w:w="990"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1821757" w14:textId="77777777" w:rsidR="00143734" w:rsidRDefault="00143734" w:rsidP="003E2786">
            <w:pPr>
              <w:pStyle w:val="TableBody"/>
              <w:spacing w:after="0"/>
            </w:pPr>
            <w:r>
              <w:t>Limited</w:t>
            </w:r>
            <w:r>
              <w:rPr>
                <w:vertAlign w:val="superscript"/>
              </w:rPr>
              <w:footnoteReference w:id="31"/>
            </w:r>
          </w:p>
        </w:tc>
        <w:tc>
          <w:tcPr>
            <w:tcW w:w="120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6C610CF" w14:textId="77777777" w:rsidR="00143734" w:rsidRDefault="00143734" w:rsidP="003E2786">
            <w:pPr>
              <w:pStyle w:val="TableBody"/>
              <w:spacing w:after="0"/>
            </w:pPr>
            <w:r>
              <w:t>At least 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7FDBD9" w14:textId="77777777" w:rsidR="00143734" w:rsidRDefault="00143734" w:rsidP="003E2786">
            <w:pPr>
              <w:pStyle w:val="TableBody"/>
              <w:spacing w:after="0"/>
            </w:pPr>
            <w:r>
              <w:t>Yes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F21E294" w14:textId="77777777" w:rsidR="00143734" w:rsidRDefault="00143734" w:rsidP="003E2786">
            <w:pPr>
              <w:pStyle w:val="TableBody"/>
              <w:spacing w:after="0"/>
            </w:pPr>
            <w:r>
              <w:t>Yes</w:t>
            </w:r>
            <w:r>
              <w:rPr>
                <w:vertAlign w:val="superscript"/>
              </w:rPr>
              <w:footnoteReference w:id="32"/>
            </w:r>
          </w:p>
        </w:tc>
      </w:tr>
      <w:tr w:rsidR="00D33908" w14:paraId="5D509980" w14:textId="77777777" w:rsidTr="003E2786">
        <w:trPr>
          <w:cantSplit/>
          <w:trHeight w:val="20"/>
          <w:jc w:val="center"/>
        </w:trPr>
        <w:tc>
          <w:tcPr>
            <w:tcW w:w="143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128EED41" w14:textId="77777777" w:rsidR="00143734" w:rsidRDefault="00143734" w:rsidP="003E2786">
            <w:pPr>
              <w:pStyle w:val="TableBody"/>
              <w:spacing w:after="0"/>
            </w:pPr>
            <w:r>
              <w:t>Microsoft Teams (Native app)</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030A1B2" w14:textId="77777777" w:rsidR="00143734" w:rsidRDefault="00143734" w:rsidP="003E2786">
            <w:pPr>
              <w:pStyle w:val="TableBody"/>
              <w:spacing w:after="0"/>
            </w:pPr>
            <w:r>
              <w:t>No</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4B7F44B" w14:textId="77777777" w:rsidR="00143734" w:rsidRDefault="00143734" w:rsidP="003E2786">
            <w:pPr>
              <w:pStyle w:val="TableBody"/>
              <w:spacing w:after="0"/>
            </w:pPr>
            <w:r>
              <w:t>Limited</w:t>
            </w:r>
            <w:r>
              <w:rPr>
                <w:vertAlign w:val="superscript"/>
              </w:rPr>
              <w:footnoteReference w:id="33"/>
            </w:r>
          </w:p>
        </w:tc>
        <w:tc>
          <w:tcPr>
            <w:tcW w:w="109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023B7CB" w14:textId="77777777" w:rsidR="00143734" w:rsidRDefault="00143734" w:rsidP="003E2786">
            <w:pPr>
              <w:pStyle w:val="TableBody"/>
              <w:spacing w:after="0"/>
            </w:pPr>
            <w:r>
              <w:t>On/Off: Yes, custom: No</w:t>
            </w:r>
          </w:p>
        </w:tc>
        <w:tc>
          <w:tcPr>
            <w:tcW w:w="1153"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54E925B" w14:textId="77777777" w:rsidR="00143734" w:rsidRDefault="00143734" w:rsidP="003E2786">
            <w:pPr>
              <w:pStyle w:val="TableBody"/>
              <w:spacing w:after="0"/>
            </w:pPr>
            <w:r>
              <w:t>Upgrade</w:t>
            </w:r>
            <w:r>
              <w:rPr>
                <w:vertAlign w:val="superscript"/>
              </w:rPr>
              <w:footnoteReference w:id="34"/>
            </w:r>
          </w:p>
        </w:tc>
        <w:tc>
          <w:tcPr>
            <w:tcW w:w="992"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2517BF5" w14:textId="77777777" w:rsidR="00143734" w:rsidRDefault="00143734" w:rsidP="003E2786">
            <w:pPr>
              <w:pStyle w:val="TableBody"/>
              <w:spacing w:after="0"/>
            </w:pPr>
            <w:r>
              <w:t>Multiple videos</w:t>
            </w:r>
          </w:p>
        </w:tc>
        <w:tc>
          <w:tcPr>
            <w:tcW w:w="108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B0D4A1C" w14:textId="77777777" w:rsidR="00143734" w:rsidRDefault="00143734" w:rsidP="003E2786">
            <w:pPr>
              <w:pStyle w:val="TableBody"/>
              <w:spacing w:after="0"/>
            </w:pPr>
            <w:r>
              <w:t>Yes</w:t>
            </w:r>
          </w:p>
        </w:tc>
        <w:tc>
          <w:tcPr>
            <w:tcW w:w="126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7E0E16D" w14:textId="77777777" w:rsidR="00143734" w:rsidRDefault="00143734" w:rsidP="003E2786">
            <w:pPr>
              <w:pStyle w:val="TableBody"/>
              <w:spacing w:after="0"/>
            </w:pPr>
            <w:r>
              <w:t>No</w:t>
            </w:r>
            <w:r>
              <w:rPr>
                <w:vertAlign w:val="superscript"/>
              </w:rPr>
              <w:footnoteReference w:id="35"/>
            </w:r>
          </w:p>
        </w:tc>
        <w:tc>
          <w:tcPr>
            <w:tcW w:w="99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934D07D" w14:textId="77777777" w:rsidR="00143734" w:rsidRDefault="00143734" w:rsidP="003E2786">
            <w:pPr>
              <w:pStyle w:val="TableBody"/>
              <w:spacing w:after="0"/>
            </w:pPr>
            <w:r>
              <w:t>Yes</w:t>
            </w:r>
          </w:p>
        </w:tc>
        <w:tc>
          <w:tcPr>
            <w:tcW w:w="120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A2F2699" w14:textId="77777777" w:rsidR="00143734" w:rsidRDefault="00143734" w:rsidP="003E2786">
            <w:pPr>
              <w:pStyle w:val="TableBody"/>
              <w:spacing w:after="0"/>
            </w:pPr>
            <w:r>
              <w:t>At least 5</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DE89798" w14:textId="77777777" w:rsidR="00143734" w:rsidRDefault="00143734" w:rsidP="003E2786">
            <w:pPr>
              <w:pStyle w:val="TableBody"/>
              <w:spacing w:after="0"/>
            </w:pPr>
            <w:r>
              <w:t>Yes</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F0C7E28" w14:textId="77777777" w:rsidR="00143734" w:rsidRDefault="00143734" w:rsidP="003E2786">
            <w:pPr>
              <w:pStyle w:val="TableBody"/>
              <w:spacing w:after="0"/>
            </w:pPr>
            <w:r>
              <w:t>Yes</w:t>
            </w:r>
            <w:r>
              <w:rPr>
                <w:vertAlign w:val="superscript"/>
              </w:rPr>
              <w:footnoteReference w:id="36"/>
            </w:r>
          </w:p>
        </w:tc>
      </w:tr>
      <w:tr w:rsidR="00D33908" w14:paraId="6C464AA5" w14:textId="77777777" w:rsidTr="003E2786">
        <w:trPr>
          <w:cantSplit/>
          <w:trHeight w:val="20"/>
          <w:jc w:val="center"/>
        </w:trPr>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81D9C96" w14:textId="77777777" w:rsidR="00143734" w:rsidRPr="004A7429" w:rsidRDefault="00143734" w:rsidP="003E2786">
            <w:pPr>
              <w:pStyle w:val="TableBody"/>
              <w:spacing w:after="0"/>
              <w:rPr>
                <w:lang w:val="nl-NL"/>
              </w:rPr>
            </w:pPr>
            <w:r w:rsidRPr="004A7429">
              <w:rPr>
                <w:lang w:val="nl-NL"/>
              </w:rPr>
              <w:t>Microsoft Teams (via Zoom plugin)</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30D2593" w14:textId="77777777" w:rsidR="00143734" w:rsidRDefault="00143734" w:rsidP="003E2786">
            <w:pPr>
              <w:pStyle w:val="TableBody"/>
              <w:spacing w:after="0"/>
            </w:pPr>
            <w:r>
              <w:t>Yes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A672E47" w14:textId="77777777" w:rsidR="00143734" w:rsidRDefault="00143734" w:rsidP="003E2786">
            <w:pPr>
              <w:pStyle w:val="TableBody"/>
              <w:spacing w:after="0"/>
            </w:pPr>
            <w:r>
              <w:t>Beta</w:t>
            </w:r>
            <w:r>
              <w:rPr>
                <w:vertAlign w:val="superscript"/>
              </w:rPr>
              <w:footnoteReference w:id="37"/>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3672445" w14:textId="77777777" w:rsidR="00143734" w:rsidRDefault="00143734" w:rsidP="003E2786">
            <w:pPr>
              <w:pStyle w:val="TableBody"/>
              <w:spacing w:after="0"/>
            </w:pPr>
            <w:r>
              <w:t>Yes</w:t>
            </w:r>
          </w:p>
        </w:tc>
        <w:tc>
          <w:tcPr>
            <w:tcW w:w="115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6E75A09" w14:textId="77777777" w:rsidR="00143734" w:rsidRDefault="00143734" w:rsidP="003E2786">
            <w:pPr>
              <w:pStyle w:val="TableBody"/>
              <w:spacing w:after="0"/>
            </w:pPr>
            <w:r>
              <w:t>Upgrade</w:t>
            </w:r>
            <w:r>
              <w:rPr>
                <w:vertAlign w:val="superscript"/>
              </w:rPr>
              <w:footnoteReference w:id="38"/>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475E590" w14:textId="77777777" w:rsidR="00143734" w:rsidRDefault="00143734" w:rsidP="003E2786">
            <w:pPr>
              <w:pStyle w:val="TableBody"/>
              <w:spacing w:after="0"/>
            </w:pPr>
            <w:r>
              <w:t>Up to one video</w:t>
            </w:r>
            <w:r>
              <w:rPr>
                <w:vertAlign w:val="superscript"/>
              </w:rPr>
              <w:footnoteReference w:id="39"/>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9F47412" w14:textId="77777777" w:rsidR="00143734" w:rsidRDefault="00143734" w:rsidP="003E2786">
            <w:pPr>
              <w:pStyle w:val="TableBody"/>
              <w:spacing w:after="0"/>
            </w:pPr>
            <w:r>
              <w:t>Yes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2159733" w14:textId="77777777" w:rsidR="00143734" w:rsidRDefault="00143734" w:rsidP="003E2786">
            <w:pPr>
              <w:pStyle w:val="TableBody"/>
              <w:spacing w:after="0"/>
            </w:pPr>
            <w:r>
              <w:t>Yes</w:t>
            </w:r>
            <w:r>
              <w:rPr>
                <w:vertAlign w:val="superscript"/>
              </w:rPr>
              <w:footnoteReference w:id="40"/>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156765D" w14:textId="77777777" w:rsidR="00143734" w:rsidRDefault="00143734" w:rsidP="003E2786">
            <w:pPr>
              <w:pStyle w:val="TableBody"/>
              <w:spacing w:after="0"/>
            </w:pPr>
            <w:r>
              <w:t>Yes</w:t>
            </w:r>
          </w:p>
        </w:tc>
        <w:tc>
          <w:tcPr>
            <w:tcW w:w="120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D07AAEC" w14:textId="77777777" w:rsidR="00143734" w:rsidRDefault="00143734" w:rsidP="003E2786">
            <w:pPr>
              <w:pStyle w:val="TableBody"/>
              <w:spacing w:after="0"/>
            </w:pPr>
            <w:r>
              <w:t>At least 5</w:t>
            </w:r>
            <w:r>
              <w:rPr>
                <w:vertAlign w:val="superscript"/>
              </w:rPr>
              <w:footnoteReference w:id="41"/>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A34F11C" w14:textId="77777777" w:rsidR="00143734" w:rsidRDefault="00143734" w:rsidP="003E2786">
            <w:pPr>
              <w:pStyle w:val="TableBody"/>
              <w:spacing w:after="0"/>
            </w:pPr>
            <w:r>
              <w:t>Yes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C127CAF" w14:textId="77777777" w:rsidR="00143734" w:rsidRDefault="00143734" w:rsidP="003E2786">
            <w:pPr>
              <w:pStyle w:val="TableBody"/>
              <w:spacing w:after="0"/>
            </w:pPr>
            <w:r>
              <w:t>Yes</w:t>
            </w:r>
          </w:p>
        </w:tc>
      </w:tr>
      <w:tr w:rsidR="00D33908" w14:paraId="7BDD28A0" w14:textId="77777777" w:rsidTr="003E2786">
        <w:trPr>
          <w:cantSplit/>
          <w:trHeight w:val="20"/>
          <w:jc w:val="center"/>
        </w:trPr>
        <w:tc>
          <w:tcPr>
            <w:tcW w:w="1432" w:type="dxa"/>
            <w:tcBorders>
              <w:top w:val="single" w:sz="6" w:space="0" w:color="000000"/>
              <w:left w:val="single" w:sz="6" w:space="0" w:color="000000"/>
              <w:bottom w:val="single" w:sz="6" w:space="0" w:color="000000"/>
              <w:right w:val="single" w:sz="6" w:space="0" w:color="000000"/>
            </w:tcBorders>
            <w:shd w:val="clear" w:color="auto" w:fill="F3F3F3"/>
            <w:tcMar>
              <w:top w:w="40" w:type="dxa"/>
              <w:left w:w="40" w:type="dxa"/>
              <w:bottom w:w="40" w:type="dxa"/>
              <w:right w:w="40" w:type="dxa"/>
            </w:tcMar>
            <w:vAlign w:val="bottom"/>
          </w:tcPr>
          <w:p w14:paraId="5FAA8C8F" w14:textId="77777777" w:rsidR="00143734" w:rsidRDefault="00143734" w:rsidP="003E2786">
            <w:pPr>
              <w:pStyle w:val="TableBody"/>
              <w:spacing w:after="0"/>
            </w:pPr>
            <w:r>
              <w:t>Zoom</w:t>
            </w:r>
          </w:p>
        </w:tc>
        <w:tc>
          <w:tcPr>
            <w:tcW w:w="108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CDF2417" w14:textId="77777777" w:rsidR="00143734" w:rsidRDefault="00143734" w:rsidP="003E2786">
            <w:pPr>
              <w:pStyle w:val="TableBody"/>
              <w:spacing w:after="0"/>
            </w:pPr>
            <w:r>
              <w:t>Yes</w:t>
            </w:r>
          </w:p>
        </w:tc>
        <w:tc>
          <w:tcPr>
            <w:tcW w:w="108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7784D8B" w14:textId="77777777" w:rsidR="00143734" w:rsidRDefault="00143734" w:rsidP="003E2786">
            <w:pPr>
              <w:pStyle w:val="TableBody"/>
              <w:spacing w:after="0"/>
            </w:pPr>
            <w:r>
              <w:t>Beta</w:t>
            </w:r>
            <w:r>
              <w:rPr>
                <w:vertAlign w:val="superscript"/>
              </w:rPr>
              <w:footnoteReference w:id="42"/>
            </w:r>
          </w:p>
        </w:tc>
        <w:tc>
          <w:tcPr>
            <w:tcW w:w="1095"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D43700A" w14:textId="77777777" w:rsidR="00143734" w:rsidRDefault="00143734" w:rsidP="003E2786">
            <w:pPr>
              <w:pStyle w:val="TableBody"/>
              <w:spacing w:after="0"/>
            </w:pPr>
            <w:r>
              <w:t>Yes</w:t>
            </w:r>
          </w:p>
        </w:tc>
        <w:tc>
          <w:tcPr>
            <w:tcW w:w="1153"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F2DFF5C" w14:textId="77777777" w:rsidR="00143734" w:rsidRDefault="00143734" w:rsidP="003E2786">
            <w:pPr>
              <w:pStyle w:val="TableBody"/>
              <w:spacing w:after="0"/>
            </w:pPr>
            <w:r>
              <w:t>Upgrade</w:t>
            </w:r>
            <w:r>
              <w:rPr>
                <w:vertAlign w:val="superscript"/>
              </w:rPr>
              <w:footnoteReference w:id="43"/>
            </w:r>
          </w:p>
        </w:tc>
        <w:tc>
          <w:tcPr>
            <w:tcW w:w="992"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2AA2A16" w14:textId="77777777" w:rsidR="00143734" w:rsidRDefault="00143734" w:rsidP="003E2786">
            <w:pPr>
              <w:pStyle w:val="TableBody"/>
              <w:spacing w:after="0"/>
            </w:pPr>
            <w:r>
              <w:t>Up to one video</w:t>
            </w:r>
            <w:r>
              <w:rPr>
                <w:vertAlign w:val="superscript"/>
              </w:rPr>
              <w:footnoteReference w:id="44"/>
            </w:r>
          </w:p>
        </w:tc>
        <w:tc>
          <w:tcPr>
            <w:tcW w:w="108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51D7AA4" w14:textId="77777777" w:rsidR="00143734" w:rsidRDefault="00143734" w:rsidP="003E2786">
            <w:pPr>
              <w:pStyle w:val="TableBody"/>
              <w:spacing w:after="0"/>
            </w:pPr>
            <w:r>
              <w:t>Yes</w:t>
            </w:r>
          </w:p>
        </w:tc>
        <w:tc>
          <w:tcPr>
            <w:tcW w:w="126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6F6A7BD" w14:textId="77777777" w:rsidR="00143734" w:rsidRDefault="00143734" w:rsidP="003E2786">
            <w:pPr>
              <w:pStyle w:val="TableBody"/>
              <w:spacing w:after="0"/>
            </w:pPr>
            <w:r>
              <w:t>Yes</w:t>
            </w:r>
            <w:r>
              <w:rPr>
                <w:vertAlign w:val="superscript"/>
              </w:rPr>
              <w:footnoteReference w:id="45"/>
            </w:r>
          </w:p>
        </w:tc>
        <w:tc>
          <w:tcPr>
            <w:tcW w:w="990"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F8DE669" w14:textId="77777777" w:rsidR="00143734" w:rsidRDefault="00143734" w:rsidP="003E2786">
            <w:pPr>
              <w:pStyle w:val="TableBody"/>
              <w:spacing w:after="0"/>
            </w:pPr>
            <w:r>
              <w:t>Yes</w:t>
            </w:r>
          </w:p>
        </w:tc>
        <w:tc>
          <w:tcPr>
            <w:tcW w:w="1201" w:type="dxa"/>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1CD2170" w14:textId="77777777" w:rsidR="00143734" w:rsidRDefault="00143734" w:rsidP="003E2786">
            <w:pPr>
              <w:pStyle w:val="TableBody"/>
              <w:spacing w:after="0"/>
            </w:pPr>
            <w:r>
              <w:t>At least 5</w:t>
            </w:r>
            <w:r>
              <w:rPr>
                <w:vertAlign w:val="superscript"/>
              </w:rPr>
              <w:footnoteReference w:id="46"/>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588909F" w14:textId="77777777" w:rsidR="00143734" w:rsidRDefault="00143734" w:rsidP="003E2786">
            <w:pPr>
              <w:pStyle w:val="TableBody"/>
              <w:spacing w:after="0"/>
            </w:pPr>
            <w:r>
              <w:t>Yes</w:t>
            </w:r>
          </w:p>
        </w:tc>
        <w:tc>
          <w:tcPr>
            <w:tcW w:w="0" w:type="auto"/>
            <w:tcBorders>
              <w:top w:val="single" w:sz="6" w:space="0" w:color="000000"/>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320C973" w14:textId="77777777" w:rsidR="00143734" w:rsidRDefault="00143734" w:rsidP="003E2786">
            <w:pPr>
              <w:pStyle w:val="TableBody"/>
              <w:spacing w:after="0"/>
            </w:pPr>
            <w:r>
              <w:t>Yes</w:t>
            </w:r>
          </w:p>
        </w:tc>
      </w:tr>
    </w:tbl>
    <w:p w14:paraId="6E6C78E2" w14:textId="77777777" w:rsidR="00143734" w:rsidRDefault="00143734" w:rsidP="00143734">
      <w:pPr>
        <w:spacing w:after="0"/>
      </w:pPr>
    </w:p>
    <w:p w14:paraId="5266728F" w14:textId="77777777" w:rsidR="00143734" w:rsidRDefault="00143734" w:rsidP="00143734">
      <w:pPr>
        <w:pStyle w:val="Heading2"/>
      </w:pPr>
      <w:bookmarkStart w:id="2" w:name="_Toc40115233"/>
      <w:r>
        <w:lastRenderedPageBreak/>
        <w:t>Tips for Evaluating a Platform’s Features</w:t>
      </w:r>
      <w:bookmarkEnd w:id="2"/>
    </w:p>
    <w:p w14:paraId="3F45A68D" w14:textId="77777777" w:rsidR="00143734" w:rsidRDefault="00143734" w:rsidP="00143734">
      <w:r>
        <w:t>Each feature of a platform can be checked or tested independently. Generally, such tests should actively involve the deaf or hard of hearing participants, as they may notice issues specific to their needs that could be missed by hearing people. The tests also need to involve such participants in their respective roles (host, moderator, or participant), as on some platforms the views of hosts, moderator and participants without special privileges can be radically different.</w:t>
      </w:r>
    </w:p>
    <w:p w14:paraId="6E133773" w14:textId="77777777" w:rsidR="00143734" w:rsidRDefault="00143734" w:rsidP="00143734">
      <w:pPr>
        <w:pStyle w:val="ListParagraph"/>
        <w:numPr>
          <w:ilvl w:val="0"/>
          <w:numId w:val="1"/>
        </w:numPr>
      </w:pPr>
      <w:r w:rsidRPr="00EB14E7">
        <w:rPr>
          <w:b/>
        </w:rPr>
        <w:t>CART or StreamText integration:</w:t>
      </w:r>
      <w:r>
        <w:t xml:space="preserve"> Schedule a technology testing session prior to the meeting with the chosen captioning vendor. The captioner may need to join as a participant and then be assigned the captioner role by the host.</w:t>
      </w:r>
    </w:p>
    <w:p w14:paraId="72433AE0" w14:textId="77777777" w:rsidR="00143734" w:rsidRPr="00EB14E7" w:rsidRDefault="00143734" w:rsidP="00143734">
      <w:pPr>
        <w:pStyle w:val="ListParagraph"/>
        <w:numPr>
          <w:ilvl w:val="0"/>
          <w:numId w:val="1"/>
        </w:numPr>
        <w:rPr>
          <w:b/>
        </w:rPr>
      </w:pPr>
      <w:r w:rsidRPr="00EB14E7">
        <w:rPr>
          <w:b/>
        </w:rPr>
        <w:t xml:space="preserve">Turn on/off customize captions: </w:t>
      </w:r>
      <w:r>
        <w:t xml:space="preserve">If the platform offers ASR captions, test customization </w:t>
      </w:r>
      <w:r w:rsidRPr="00EB14E7">
        <w:rPr>
          <w:i/>
        </w:rPr>
        <w:t xml:space="preserve">as a participant </w:t>
      </w:r>
      <w:r>
        <w:t>with an active speaker with ASR captions enabled. Else, test customization during the technology test with the captioning vendor as per the previous point.</w:t>
      </w:r>
    </w:p>
    <w:p w14:paraId="18368635" w14:textId="77777777" w:rsidR="00143734" w:rsidRPr="00EB14E7" w:rsidRDefault="00143734" w:rsidP="00143734">
      <w:pPr>
        <w:pStyle w:val="ListParagraph"/>
        <w:numPr>
          <w:ilvl w:val="0"/>
          <w:numId w:val="1"/>
        </w:numPr>
        <w:rPr>
          <w:b/>
        </w:rPr>
      </w:pPr>
      <w:r w:rsidRPr="00EB14E7">
        <w:rPr>
          <w:b/>
        </w:rPr>
        <w:t xml:space="preserve">ASR integration: </w:t>
      </w:r>
      <w:r>
        <w:t xml:space="preserve">Set up a test meeting with a variety of speakers (gender, race, nationality) that mirror the diversity expected during typical workplace meetings. Have the speakers take turns. Have a hearing person </w:t>
      </w:r>
      <w:r w:rsidRPr="00EB14E7">
        <w:rPr>
          <w:i/>
        </w:rPr>
        <w:t>as a participant</w:t>
      </w:r>
      <w:r>
        <w:t xml:space="preserve"> monitor the caption accuracy and latency. In parallel, have a deaf or hard of hearing</w:t>
      </w:r>
      <w:r w:rsidRPr="00EB14E7">
        <w:rPr>
          <w:i/>
        </w:rPr>
        <w:t xml:space="preserve"> person as a participant </w:t>
      </w:r>
      <w:r>
        <w:t>evaluate the ASR captions for usability and ability to follow the meeting with multiple speakers.</w:t>
      </w:r>
    </w:p>
    <w:p w14:paraId="7EC76934" w14:textId="77777777" w:rsidR="00143734" w:rsidRPr="00EB14E7" w:rsidRDefault="00143734" w:rsidP="00143734">
      <w:pPr>
        <w:pStyle w:val="ListParagraph"/>
        <w:numPr>
          <w:ilvl w:val="0"/>
          <w:numId w:val="1"/>
        </w:numPr>
        <w:rPr>
          <w:b/>
        </w:rPr>
      </w:pPr>
      <w:r w:rsidRPr="00EB14E7">
        <w:rPr>
          <w:b/>
        </w:rPr>
        <w:t xml:space="preserve">Relay Service integration via phone number: </w:t>
      </w:r>
      <w:r>
        <w:t xml:space="preserve">Set up a test meeting with a call-in number. Have a deaf or hard of hearing person </w:t>
      </w:r>
      <w:r w:rsidRPr="00EB14E7">
        <w:rPr>
          <w:i/>
        </w:rPr>
        <w:t xml:space="preserve">as a participant </w:t>
      </w:r>
      <w:r>
        <w:t>connect to the meeting via a computer, and in parallel make a phone call through their relay provider. Evaluate the ability of the participant to have a conversation with multiple speakers taking turns.</w:t>
      </w:r>
    </w:p>
    <w:p w14:paraId="431BFACF" w14:textId="77777777" w:rsidR="00143734" w:rsidRPr="00EB14E7" w:rsidRDefault="00143734" w:rsidP="00143734">
      <w:pPr>
        <w:pStyle w:val="ListParagraph"/>
        <w:numPr>
          <w:ilvl w:val="0"/>
          <w:numId w:val="1"/>
        </w:numPr>
        <w:rPr>
          <w:b/>
        </w:rPr>
      </w:pPr>
      <w:r w:rsidRPr="00EB14E7">
        <w:rPr>
          <w:b/>
        </w:rPr>
        <w:t xml:space="preserve">Pin sign language interpreter video when video follows voice: </w:t>
      </w:r>
      <w:r>
        <w:t xml:space="preserve">Set up a test meeting where video follows voice, with at least three people, two of whom should use spoken language. Have one person speak, and evaluate the ability of the deaf or hard of hearing person </w:t>
      </w:r>
      <w:r w:rsidRPr="00EB14E7">
        <w:rPr>
          <w:i/>
        </w:rPr>
        <w:t>as a participant</w:t>
      </w:r>
      <w:r>
        <w:t xml:space="preserve"> to select and enlarge a different video from the active speaker, also different from their own video stream. If the platform supports a spotlighting-type of feature, repeat this test with the host or moderator selecting and spotlighting a different video from the active speaker.</w:t>
      </w:r>
    </w:p>
    <w:p w14:paraId="2371A80D" w14:textId="77777777" w:rsidR="00143734" w:rsidRPr="00EB14E7" w:rsidRDefault="00143734" w:rsidP="00143734">
      <w:pPr>
        <w:pStyle w:val="ListParagraph"/>
        <w:numPr>
          <w:ilvl w:val="0"/>
          <w:numId w:val="1"/>
        </w:numPr>
        <w:rPr>
          <w:b/>
        </w:rPr>
      </w:pPr>
      <w:r w:rsidRPr="00EB14E7">
        <w:rPr>
          <w:b/>
        </w:rPr>
        <w:t>Participant can enlarge or pin videos</w:t>
      </w:r>
      <w:r>
        <w:t xml:space="preserve">: Set up a test meeting with at least as many people as are typically expected to be on video at the same time. With all videos active, have the deaf or hard of hearing person </w:t>
      </w:r>
      <w:r w:rsidRPr="00EB14E7">
        <w:rPr>
          <w:i/>
        </w:rPr>
        <w:t>as a participant</w:t>
      </w:r>
      <w:r>
        <w:t xml:space="preserve"> select a video and attempt to enlarge it; then switch among multiple active speakers on video and verify that the video stays enlarged even when speakers switch, and that the chosen enlarged video can easily be changed.</w:t>
      </w:r>
    </w:p>
    <w:p w14:paraId="5A48ADD3" w14:textId="77777777" w:rsidR="00143734" w:rsidRPr="00EB14E7" w:rsidRDefault="00143734" w:rsidP="00143734">
      <w:pPr>
        <w:pStyle w:val="ListParagraph"/>
        <w:numPr>
          <w:ilvl w:val="0"/>
          <w:numId w:val="1"/>
        </w:numPr>
        <w:rPr>
          <w:b/>
        </w:rPr>
      </w:pPr>
      <w:r w:rsidRPr="00EB14E7">
        <w:rPr>
          <w:b/>
        </w:rPr>
        <w:lastRenderedPageBreak/>
        <w:t xml:space="preserve">Participant can see screen share and enlarged video: </w:t>
      </w:r>
      <w:r>
        <w:t xml:space="preserve">This is a feature where host and participant views can differ, and where it is especially important to test out both views. Set up a test meeting with at least three people on video. Have the host start with screen sharing, and verify that the deaf or hard of hearing person </w:t>
      </w:r>
      <w:r w:rsidRPr="00EB14E7">
        <w:rPr>
          <w:i/>
        </w:rPr>
        <w:t>as a participant</w:t>
      </w:r>
      <w:r>
        <w:t xml:space="preserve"> can comfortably view the host’s video. Then switch screen sharing to the second person in the meeting (other than the host or deaf or hard of hearing person). Re-check if the deaf or hard of hearing person can comfortably view the second person’s video. Then assign screen sharing to the deaf or hard of hearing person, and have them verify that they can still comfortably view other people’s videos; this is intended to cover the scenario where the deaf or hard of hearing person </w:t>
      </w:r>
      <w:r w:rsidRPr="00EB14E7">
        <w:rPr>
          <w:i/>
        </w:rPr>
        <w:t>is a presenter.</w:t>
      </w:r>
    </w:p>
    <w:p w14:paraId="31414CD9" w14:textId="77777777" w:rsidR="00143734" w:rsidRPr="00EB14E7" w:rsidRDefault="00143734" w:rsidP="00143734">
      <w:pPr>
        <w:pStyle w:val="ListParagraph"/>
        <w:numPr>
          <w:ilvl w:val="0"/>
          <w:numId w:val="1"/>
        </w:numPr>
        <w:rPr>
          <w:b/>
        </w:rPr>
      </w:pPr>
      <w:r w:rsidRPr="00EB14E7">
        <w:rPr>
          <w:b/>
        </w:rPr>
        <w:t xml:space="preserve">Has text chat and prominent visual text notices: </w:t>
      </w:r>
      <w:r>
        <w:t xml:space="preserve">Set up a test meeting with at least four people on video. Have a person type something on text chat. The deaf or hard of hearing person should evaluate </w:t>
      </w:r>
      <w:r w:rsidRPr="00EB14E7">
        <w:rPr>
          <w:i/>
        </w:rPr>
        <w:t>with the text chat box closed (or in the default configuration presented when the meeting starts)</w:t>
      </w:r>
      <w:r>
        <w:t xml:space="preserve"> whether the text notification easily catches their attention. Further, they should verify that when they open the text chat, the chat does not block important parts of the video.</w:t>
      </w:r>
    </w:p>
    <w:p w14:paraId="312DE877" w14:textId="77777777" w:rsidR="00143734" w:rsidRPr="00EB14E7" w:rsidRDefault="00143734" w:rsidP="00143734">
      <w:pPr>
        <w:pStyle w:val="ListParagraph"/>
        <w:numPr>
          <w:ilvl w:val="0"/>
          <w:numId w:val="1"/>
        </w:numPr>
        <w:rPr>
          <w:b/>
        </w:rPr>
      </w:pPr>
      <w:r w:rsidRPr="00EB14E7">
        <w:rPr>
          <w:b/>
        </w:rPr>
        <w:t xml:space="preserve">Number of videos at the same time with good quality: </w:t>
      </w:r>
      <w:r>
        <w:t xml:space="preserve">Set up a test meeting with at least as many people as are typically expected to be on video at the same time. </w:t>
      </w:r>
    </w:p>
    <w:p w14:paraId="493BE995" w14:textId="77777777" w:rsidR="00143734" w:rsidRPr="00EB14E7" w:rsidRDefault="00143734" w:rsidP="00143734">
      <w:pPr>
        <w:pStyle w:val="ListParagraph"/>
        <w:numPr>
          <w:ilvl w:val="1"/>
          <w:numId w:val="1"/>
        </w:numPr>
        <w:rPr>
          <w:b/>
        </w:rPr>
      </w:pPr>
      <w:r>
        <w:t>If the deaf or hard of hearing person uses sign language, at least one person other than this person should know sign language for this test. With all videos active, have that other person sign and have the deaf or hard of hearing person evaluate whether the resolution and frame rate are good enough for comfortably understanding sign language (typical targets are 30 frames per second and at least 640x480 video, but individual requirements may differ). If the video quality is marginal, and the meeting platform offers a spotlighting-type of feature, repeat the test with the active signer spotlighted.</w:t>
      </w:r>
    </w:p>
    <w:p w14:paraId="1A7CD67E" w14:textId="77777777" w:rsidR="00143734" w:rsidRDefault="00143734" w:rsidP="00143734">
      <w:pPr>
        <w:pStyle w:val="ListParagraph"/>
        <w:numPr>
          <w:ilvl w:val="1"/>
          <w:numId w:val="1"/>
        </w:numPr>
      </w:pPr>
      <w:r>
        <w:t>If the deaf or hard of hearing person listens and lip-reads, with all videos active, have a person speak, and the deaf or hard of hearing person evaluate whether the resolution and frame rate comfortably support lip-reading.</w:t>
      </w:r>
    </w:p>
    <w:p w14:paraId="423D5FB0" w14:textId="77777777" w:rsidR="00143734" w:rsidRPr="00EB14E7" w:rsidRDefault="00143734" w:rsidP="00143734">
      <w:pPr>
        <w:pStyle w:val="ListParagraph"/>
        <w:numPr>
          <w:ilvl w:val="0"/>
          <w:numId w:val="1"/>
        </w:numPr>
        <w:rPr>
          <w:b/>
        </w:rPr>
      </w:pPr>
      <w:r w:rsidRPr="00EB14E7">
        <w:rPr>
          <w:b/>
        </w:rPr>
        <w:t xml:space="preserve">Gallery View: </w:t>
      </w:r>
      <w:r>
        <w:t xml:space="preserve">Set up a test meeting with at least as many people as are typically expected to be on video at the same time. Evaluate whether all videos can be made visible to a person </w:t>
      </w:r>
      <w:r w:rsidRPr="00EB14E7">
        <w:rPr>
          <w:i/>
        </w:rPr>
        <w:t>in the participant role</w:t>
      </w:r>
      <w:r>
        <w:t xml:space="preserve"> on the screen at the same time. If the participant must scroll among videos, this requirement is not being met.</w:t>
      </w:r>
    </w:p>
    <w:p w14:paraId="478CBA74" w14:textId="77777777" w:rsidR="00143734" w:rsidRPr="00EB14E7" w:rsidRDefault="00143734" w:rsidP="00143734">
      <w:pPr>
        <w:pStyle w:val="ListParagraph"/>
        <w:numPr>
          <w:ilvl w:val="0"/>
          <w:numId w:val="1"/>
        </w:numPr>
        <w:rPr>
          <w:b/>
        </w:rPr>
      </w:pPr>
      <w:r w:rsidRPr="00EB14E7">
        <w:rPr>
          <w:b/>
        </w:rPr>
        <w:t xml:space="preserve">Co-Hosting: </w:t>
      </w:r>
      <w:r>
        <w:t>Set up a test meeting with the number of desired co-hosts/moderators, plus at least one more regular participant. Evaluate whether all co-hosts and moderators are able to take the desired actions for running an accessible meeting, such as muting participants, pinning or spotlighting videos, managing hand raising and so on; and that the participant is able to observe the effect of these actions.</w:t>
      </w:r>
    </w:p>
    <w:p w14:paraId="7CD9D3F8" w14:textId="77777777" w:rsidR="00143734" w:rsidRDefault="00143734" w:rsidP="00143734"/>
    <w:p w14:paraId="082146FD" w14:textId="77777777" w:rsidR="00D86C79" w:rsidRDefault="00D86C79" w:rsidP="00D86C79">
      <w:pPr>
        <w:pStyle w:val="Heading1"/>
        <w:spacing w:before="0" w:after="0"/>
      </w:pPr>
      <w:r>
        <w:t xml:space="preserve">Contributors </w:t>
      </w:r>
    </w:p>
    <w:p w14:paraId="7FACFDE5" w14:textId="77777777" w:rsidR="00D86C79" w:rsidRPr="0024629E" w:rsidRDefault="00D86C79" w:rsidP="00D86C79">
      <w:pPr>
        <w:spacing w:after="0"/>
      </w:pPr>
      <w:r>
        <w:t>This guide was developed by deaf and hard of hearing consumer advocacy organizations and subject matter experts:</w:t>
      </w:r>
    </w:p>
    <w:p w14:paraId="2A953DEB" w14:textId="77777777" w:rsidR="00D86C79" w:rsidRDefault="00D86C79" w:rsidP="00D86C79">
      <w:pPr>
        <w:spacing w:after="0"/>
        <w:rPr>
          <w:highlight w:val="yellow"/>
        </w:rPr>
      </w:pPr>
    </w:p>
    <w:p w14:paraId="6BDE9221" w14:textId="77777777" w:rsidR="005E3E95" w:rsidRPr="007225C7" w:rsidRDefault="008B148E" w:rsidP="005E3E95">
      <w:pPr>
        <w:numPr>
          <w:ilvl w:val="0"/>
          <w:numId w:val="3"/>
        </w:numPr>
        <w:spacing w:after="0"/>
        <w:rPr>
          <w:color w:val="2F5496" w:themeColor="accent1" w:themeShade="BF"/>
        </w:rPr>
      </w:pPr>
      <w:hyperlink r:id="rId8" w:history="1">
        <w:r w:rsidR="005E3E95" w:rsidRPr="007225C7">
          <w:rPr>
            <w:rStyle w:val="Hyperlink"/>
            <w:color w:val="2F5496" w:themeColor="accent1" w:themeShade="BF"/>
          </w:rPr>
          <w:t>American Association of the DeafBlind*</w:t>
        </w:r>
      </w:hyperlink>
    </w:p>
    <w:p w14:paraId="5498FDC3" w14:textId="22A25484" w:rsidR="005E3E95" w:rsidRPr="00B11F63" w:rsidRDefault="008B148E" w:rsidP="005E3E95">
      <w:pPr>
        <w:numPr>
          <w:ilvl w:val="0"/>
          <w:numId w:val="3"/>
        </w:numPr>
        <w:spacing w:after="0"/>
        <w:rPr>
          <w:color w:val="2F5496" w:themeColor="accent1" w:themeShade="BF"/>
        </w:rPr>
      </w:pPr>
      <w:hyperlink r:id="rId9">
        <w:r w:rsidR="005E3E95" w:rsidRPr="00B11F63">
          <w:rPr>
            <w:color w:val="2F5496" w:themeColor="accent1" w:themeShade="BF"/>
            <w:u w:val="single"/>
          </w:rPr>
          <w:t>Association of Late-Deafened Adults (ALDA)</w:t>
        </w:r>
      </w:hyperlink>
      <w:r w:rsidR="005E3E95" w:rsidRPr="00B11F63">
        <w:rPr>
          <w:color w:val="2F5496" w:themeColor="accent1" w:themeShade="BF"/>
        </w:rPr>
        <w:t>*</w:t>
      </w:r>
    </w:p>
    <w:p w14:paraId="0C4C12C3" w14:textId="77777777" w:rsidR="005E3E95" w:rsidRPr="00C2504C" w:rsidRDefault="008B148E" w:rsidP="005E3E95">
      <w:pPr>
        <w:numPr>
          <w:ilvl w:val="0"/>
          <w:numId w:val="3"/>
        </w:numPr>
        <w:spacing w:after="0"/>
        <w:rPr>
          <w:color w:val="2F5496" w:themeColor="accent1" w:themeShade="BF"/>
        </w:rPr>
      </w:pPr>
      <w:hyperlink r:id="rId10" w:history="1">
        <w:r w:rsidR="005E3E95" w:rsidRPr="00C2504C">
          <w:rPr>
            <w:rStyle w:val="Hyperlink"/>
            <w:color w:val="2F5496" w:themeColor="accent1" w:themeShade="BF"/>
          </w:rPr>
          <w:t>Cerebral Palsy and Deaf Organization</w:t>
        </w:r>
      </w:hyperlink>
      <w:r w:rsidR="005E3E95" w:rsidRPr="00C2504C">
        <w:rPr>
          <w:rStyle w:val="Hyperlink"/>
          <w:color w:val="2F5496" w:themeColor="accent1" w:themeShade="BF"/>
        </w:rPr>
        <w:t xml:space="preserve"> (CPADO)</w:t>
      </w:r>
      <w:r w:rsidR="005E3E95" w:rsidRPr="00C2504C">
        <w:rPr>
          <w:color w:val="2F5496" w:themeColor="accent1" w:themeShade="BF"/>
        </w:rPr>
        <w:t>*</w:t>
      </w:r>
    </w:p>
    <w:p w14:paraId="5D786C0D" w14:textId="77777777" w:rsidR="005E3E95" w:rsidRPr="00F44BF7" w:rsidRDefault="008B148E" w:rsidP="005E3E95">
      <w:pPr>
        <w:numPr>
          <w:ilvl w:val="0"/>
          <w:numId w:val="3"/>
        </w:numPr>
        <w:spacing w:after="0"/>
        <w:rPr>
          <w:rStyle w:val="Hyperlink"/>
          <w:color w:val="2F5496" w:themeColor="accent1" w:themeShade="BF"/>
          <w:u w:val="none"/>
        </w:rPr>
      </w:pPr>
      <w:hyperlink r:id="rId11" w:history="1">
        <w:r w:rsidR="005E3E95" w:rsidRPr="00F44BF7">
          <w:rPr>
            <w:rStyle w:val="Hyperlink"/>
            <w:color w:val="2F5496" w:themeColor="accent1" w:themeShade="BF"/>
          </w:rPr>
          <w:t>Deaf in Government (DIG)</w:t>
        </w:r>
      </w:hyperlink>
    </w:p>
    <w:p w14:paraId="6FD604D0" w14:textId="77777777" w:rsidR="005E3E95" w:rsidRPr="00BB4084" w:rsidRDefault="008B148E" w:rsidP="005E3E95">
      <w:pPr>
        <w:numPr>
          <w:ilvl w:val="0"/>
          <w:numId w:val="3"/>
        </w:numPr>
        <w:spacing w:after="0"/>
        <w:rPr>
          <w:color w:val="2F5496" w:themeColor="accent1" w:themeShade="BF"/>
        </w:rPr>
      </w:pPr>
      <w:hyperlink r:id="rId12" w:history="1">
        <w:r w:rsidR="005E3E95" w:rsidRPr="00BB4084">
          <w:rPr>
            <w:rStyle w:val="Hyperlink"/>
            <w:color w:val="2F5496" w:themeColor="accent1" w:themeShade="BF"/>
          </w:rPr>
          <w:t>Gallaudet University</w:t>
        </w:r>
      </w:hyperlink>
    </w:p>
    <w:p w14:paraId="00839474" w14:textId="77777777" w:rsidR="005E3E95" w:rsidRPr="005E3E95" w:rsidRDefault="008B148E" w:rsidP="005E3E95">
      <w:pPr>
        <w:numPr>
          <w:ilvl w:val="0"/>
          <w:numId w:val="3"/>
        </w:numPr>
        <w:spacing w:after="0"/>
        <w:rPr>
          <w:color w:val="2F5496" w:themeColor="accent1" w:themeShade="BF"/>
        </w:rPr>
      </w:pPr>
      <w:hyperlink r:id="rId13" w:history="1">
        <w:r w:rsidR="005E3E95" w:rsidRPr="005E3E95">
          <w:rPr>
            <w:rStyle w:val="Hyperlink"/>
            <w:color w:val="2F5496" w:themeColor="accent1" w:themeShade="BF"/>
          </w:rPr>
          <w:t>Gallaudet University Technology Access Program/Deaf Hard of Hearing Technology RERC</w:t>
        </w:r>
      </w:hyperlink>
    </w:p>
    <w:p w14:paraId="52E2E767" w14:textId="77777777" w:rsidR="005E3E95" w:rsidRPr="00361683" w:rsidRDefault="008B148E" w:rsidP="005E3E95">
      <w:pPr>
        <w:numPr>
          <w:ilvl w:val="0"/>
          <w:numId w:val="3"/>
        </w:numPr>
        <w:spacing w:after="0"/>
        <w:rPr>
          <w:color w:val="2F5496" w:themeColor="accent1" w:themeShade="BF"/>
        </w:rPr>
      </w:pPr>
      <w:hyperlink r:id="rId14">
        <w:r w:rsidR="005E3E95" w:rsidRPr="00361683">
          <w:rPr>
            <w:color w:val="2F5496" w:themeColor="accent1" w:themeShade="BF"/>
            <w:u w:val="single"/>
          </w:rPr>
          <w:t>Hearing Loss Association of America (HLAA)</w:t>
        </w:r>
      </w:hyperlink>
      <w:r w:rsidR="005E3E95" w:rsidRPr="00361683">
        <w:rPr>
          <w:color w:val="2F5496" w:themeColor="accent1" w:themeShade="BF"/>
        </w:rPr>
        <w:t>*</w:t>
      </w:r>
    </w:p>
    <w:p w14:paraId="65D43C46" w14:textId="77777777" w:rsidR="005E3E95" w:rsidRPr="00361683" w:rsidRDefault="008B148E" w:rsidP="005E3E95">
      <w:pPr>
        <w:numPr>
          <w:ilvl w:val="0"/>
          <w:numId w:val="3"/>
        </w:numPr>
        <w:spacing w:after="0"/>
        <w:rPr>
          <w:color w:val="2F5496" w:themeColor="accent1" w:themeShade="BF"/>
        </w:rPr>
      </w:pPr>
      <w:hyperlink r:id="rId15">
        <w:r w:rsidR="005E3E95" w:rsidRPr="00361683">
          <w:rPr>
            <w:color w:val="2F5496" w:themeColor="accent1" w:themeShade="BF"/>
            <w:u w:val="single"/>
          </w:rPr>
          <w:t>National Association of the Deaf (NAD)</w:t>
        </w:r>
      </w:hyperlink>
      <w:r w:rsidR="005E3E95" w:rsidRPr="00361683">
        <w:rPr>
          <w:color w:val="2F5496" w:themeColor="accent1" w:themeShade="BF"/>
        </w:rPr>
        <w:t>*</w:t>
      </w:r>
    </w:p>
    <w:p w14:paraId="1A193747" w14:textId="77777777" w:rsidR="005E3E95" w:rsidRPr="00361683" w:rsidRDefault="008B148E" w:rsidP="005E3E95">
      <w:pPr>
        <w:numPr>
          <w:ilvl w:val="0"/>
          <w:numId w:val="3"/>
        </w:numPr>
        <w:spacing w:after="0"/>
        <w:rPr>
          <w:rStyle w:val="Hyperlink"/>
          <w:color w:val="2F5496" w:themeColor="accent1" w:themeShade="BF"/>
          <w:u w:val="none"/>
        </w:rPr>
      </w:pPr>
      <w:hyperlink r:id="rId16" w:history="1">
        <w:r w:rsidR="005E3E95" w:rsidRPr="00361683">
          <w:rPr>
            <w:rStyle w:val="Hyperlink"/>
            <w:color w:val="2F5496" w:themeColor="accent1" w:themeShade="BF"/>
          </w:rPr>
          <w:t>National Association of State Agencies of the Deaf and Hard of Hearing (NASADHH)</w:t>
        </w:r>
      </w:hyperlink>
    </w:p>
    <w:p w14:paraId="546A5D35" w14:textId="77777777" w:rsidR="005E3E95" w:rsidRPr="00361683" w:rsidRDefault="008B148E" w:rsidP="005E3E95">
      <w:pPr>
        <w:pStyle w:val="ListParagraph"/>
        <w:numPr>
          <w:ilvl w:val="0"/>
          <w:numId w:val="3"/>
        </w:numPr>
        <w:spacing w:after="0"/>
        <w:rPr>
          <w:rFonts w:asciiTheme="majorBidi" w:hAnsiTheme="majorBidi" w:cstheme="majorBidi"/>
          <w:color w:val="2F5496" w:themeColor="accent1" w:themeShade="BF"/>
        </w:rPr>
      </w:pPr>
      <w:hyperlink r:id="rId17" w:tgtFrame="_blank" w:history="1">
        <w:r w:rsidR="005E3E95" w:rsidRPr="00361683">
          <w:rPr>
            <w:rStyle w:val="Hyperlink"/>
            <w:rFonts w:asciiTheme="majorBidi" w:hAnsiTheme="majorBidi" w:cstheme="majorBidi"/>
            <w:color w:val="2F5496" w:themeColor="accent1" w:themeShade="BF"/>
            <w:shd w:val="clear" w:color="auto" w:fill="FFFFFF"/>
          </w:rPr>
          <w:t>National Technical Institute for the Deaf (</w:t>
        </w:r>
        <w:r w:rsidR="005E3E95" w:rsidRPr="00361683">
          <w:rPr>
            <w:rStyle w:val="il"/>
            <w:rFonts w:asciiTheme="majorBidi" w:hAnsiTheme="majorBidi" w:cstheme="majorBidi"/>
            <w:color w:val="2F5496" w:themeColor="accent1" w:themeShade="BF"/>
            <w:u w:val="single"/>
            <w:shd w:val="clear" w:color="auto" w:fill="FFFFFF"/>
          </w:rPr>
          <w:t>NTID</w:t>
        </w:r>
        <w:r w:rsidR="005E3E95" w:rsidRPr="00361683">
          <w:rPr>
            <w:rStyle w:val="Hyperlink"/>
            <w:rFonts w:asciiTheme="majorBidi" w:hAnsiTheme="majorBidi" w:cstheme="majorBidi"/>
            <w:color w:val="2F5496" w:themeColor="accent1" w:themeShade="BF"/>
            <w:shd w:val="clear" w:color="auto" w:fill="FFFFFF"/>
          </w:rPr>
          <w:t>) Center on Employment </w:t>
        </w:r>
      </w:hyperlink>
    </w:p>
    <w:p w14:paraId="0F869FDC" w14:textId="77777777" w:rsidR="005E3E95" w:rsidRPr="00361683" w:rsidRDefault="008B148E" w:rsidP="005E3E95">
      <w:pPr>
        <w:numPr>
          <w:ilvl w:val="0"/>
          <w:numId w:val="3"/>
        </w:numPr>
        <w:spacing w:after="0"/>
        <w:rPr>
          <w:color w:val="2F5496" w:themeColor="accent1" w:themeShade="BF"/>
        </w:rPr>
      </w:pPr>
      <w:hyperlink r:id="rId18">
        <w:r w:rsidR="005E3E95" w:rsidRPr="00361683">
          <w:rPr>
            <w:color w:val="2F5496" w:themeColor="accent1" w:themeShade="BF"/>
            <w:u w:val="single"/>
          </w:rPr>
          <w:t>Samuelson-Glushko Technology Law &amp; Policy Clinic at Colorado Law</w:t>
        </w:r>
      </w:hyperlink>
      <w:r w:rsidR="005E3E95" w:rsidRPr="00361683">
        <w:rPr>
          <w:color w:val="2F5496" w:themeColor="accent1" w:themeShade="BF"/>
        </w:rPr>
        <w:t> (counsel to TDI)</w:t>
      </w:r>
    </w:p>
    <w:p w14:paraId="3AAF7A16" w14:textId="77777777" w:rsidR="005E3E95" w:rsidRPr="00361683" w:rsidRDefault="008B148E" w:rsidP="005E3E95">
      <w:pPr>
        <w:numPr>
          <w:ilvl w:val="0"/>
          <w:numId w:val="3"/>
        </w:numPr>
        <w:spacing w:after="0"/>
        <w:rPr>
          <w:color w:val="2F5496" w:themeColor="accent1" w:themeShade="BF"/>
        </w:rPr>
      </w:pPr>
      <w:hyperlink r:id="rId19">
        <w:r w:rsidR="005E3E95" w:rsidRPr="00361683">
          <w:rPr>
            <w:color w:val="2F5496" w:themeColor="accent1" w:themeShade="BF"/>
            <w:u w:val="single"/>
          </w:rPr>
          <w:t>Telecommunications for the Deaf and Hard of Hearing, Inc. (TDI)</w:t>
        </w:r>
      </w:hyperlink>
      <w:r w:rsidR="005E3E95" w:rsidRPr="00361683">
        <w:rPr>
          <w:color w:val="2F5496" w:themeColor="accent1" w:themeShade="BF"/>
        </w:rPr>
        <w:t>*</w:t>
      </w:r>
    </w:p>
    <w:p w14:paraId="78EB7C8C" w14:textId="77777777" w:rsidR="005E3E95" w:rsidRPr="00361683" w:rsidRDefault="008B148E" w:rsidP="005E3E95">
      <w:pPr>
        <w:numPr>
          <w:ilvl w:val="0"/>
          <w:numId w:val="3"/>
        </w:numPr>
        <w:spacing w:after="0"/>
        <w:rPr>
          <w:rFonts w:ascii="Arial" w:eastAsia="Arial" w:hAnsi="Arial" w:cs="Arial"/>
          <w:color w:val="2F5496" w:themeColor="accent1" w:themeShade="BF"/>
          <w:lang w:eastAsia="en-US"/>
        </w:rPr>
      </w:pPr>
      <w:hyperlink r:id="rId20" w:history="1">
        <w:r w:rsidR="005E3E95" w:rsidRPr="00361683">
          <w:rPr>
            <w:rStyle w:val="Hyperlink"/>
            <w:color w:val="2F5496" w:themeColor="accent1" w:themeShade="BF"/>
          </w:rPr>
          <w:t xml:space="preserve">Tina Childress, </w:t>
        </w:r>
        <w:r w:rsidR="005E3E95" w:rsidRPr="00361683">
          <w:rPr>
            <w:rStyle w:val="Hyperlink"/>
            <w:color w:val="2F5496" w:themeColor="accent1" w:themeShade="BF"/>
            <w:shd w:val="clear" w:color="auto" w:fill="FFFFFF"/>
          </w:rPr>
          <w:t>Deaf assistive technology expert</w:t>
        </w:r>
      </w:hyperlink>
      <w:r w:rsidR="005E3E95" w:rsidRPr="00361683">
        <w:rPr>
          <w:color w:val="2F5496" w:themeColor="accent1" w:themeShade="BF"/>
          <w:shd w:val="clear" w:color="auto" w:fill="FFFFFF"/>
        </w:rPr>
        <w:t xml:space="preserve"> </w:t>
      </w:r>
    </w:p>
    <w:p w14:paraId="0980DB7E" w14:textId="0B35D1EC" w:rsidR="00143734" w:rsidRDefault="00143734"/>
    <w:p w14:paraId="2AC2FE23" w14:textId="5D92129D" w:rsidR="00FE6FC1" w:rsidRDefault="00FE6FC1" w:rsidP="00FE6FC1">
      <w:pPr>
        <w:pStyle w:val="Heading1"/>
      </w:pPr>
      <w:r>
        <w:t>Acknowledgments</w:t>
      </w:r>
    </w:p>
    <w:p w14:paraId="47E0F510" w14:textId="2571239D" w:rsidR="00FE6FC1" w:rsidRPr="00FE6FC1" w:rsidRDefault="00FE6FC1" w:rsidP="00FE6FC1">
      <w:r w:rsidRPr="00FE6FC1">
        <w:t xml:space="preserve">The contents of this </w:t>
      </w:r>
      <w:r>
        <w:t>document</w:t>
      </w:r>
      <w:r w:rsidRPr="00FE6FC1">
        <w:t xml:space="preserve"> were developed under </w:t>
      </w:r>
      <w:r>
        <w:t xml:space="preserve">a </w:t>
      </w:r>
      <w:r w:rsidRPr="00FE6FC1">
        <w:t xml:space="preserve">grant from the National Institute on Disability, Independent Living, and Rehabilitation Research (NIDILRR grant number 90REGE0013). NIDILRR is a Center within the Administration for Community Living (ACL), Department of Health and Human Services (HHS). The contents of this </w:t>
      </w:r>
      <w:r>
        <w:t>document</w:t>
      </w:r>
      <w:r w:rsidRPr="00FE6FC1">
        <w:t xml:space="preserve"> do not necessarily represent the policy of NIDILRR, ACL, HHS, and you should not assume endorsement by the Federal Government.</w:t>
      </w:r>
    </w:p>
    <w:sectPr w:rsidR="00FE6FC1" w:rsidRPr="00FE6FC1" w:rsidSect="00D3390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BC61A" w14:textId="77777777" w:rsidR="008B148E" w:rsidRDefault="008B148E" w:rsidP="00143734">
      <w:pPr>
        <w:spacing w:after="0"/>
      </w:pPr>
      <w:r>
        <w:separator/>
      </w:r>
    </w:p>
  </w:endnote>
  <w:endnote w:type="continuationSeparator" w:id="0">
    <w:p w14:paraId="5DFABB43" w14:textId="77777777" w:rsidR="008B148E" w:rsidRDefault="008B148E" w:rsidP="00143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893A" w14:textId="77777777" w:rsidR="008B148E" w:rsidRDefault="008B148E" w:rsidP="00143734">
      <w:pPr>
        <w:spacing w:after="0"/>
      </w:pPr>
      <w:r>
        <w:separator/>
      </w:r>
    </w:p>
  </w:footnote>
  <w:footnote w:type="continuationSeparator" w:id="0">
    <w:p w14:paraId="2D652076" w14:textId="77777777" w:rsidR="008B148E" w:rsidRDefault="008B148E" w:rsidP="00143734">
      <w:pPr>
        <w:spacing w:after="0"/>
      </w:pPr>
      <w:r>
        <w:continuationSeparator/>
      </w:r>
    </w:p>
  </w:footnote>
  <w:footnote w:id="1">
    <w:p w14:paraId="374A2258" w14:textId="77777777" w:rsidR="004049B8" w:rsidRDefault="004049B8" w:rsidP="004049B8">
      <w:pPr>
        <w:pStyle w:val="FootnoteText"/>
      </w:pPr>
      <w:r>
        <w:rPr>
          <w:vertAlign w:val="superscript"/>
        </w:rPr>
        <w:footnoteRef/>
      </w:r>
      <w:r>
        <w:t xml:space="preserve"> Captions overlaid on the video, if done well, reduce split visual attention.</w:t>
      </w:r>
    </w:p>
  </w:footnote>
  <w:footnote w:id="2">
    <w:p w14:paraId="32144E9B" w14:textId="77777777" w:rsidR="004049B8" w:rsidRDefault="004049B8" w:rsidP="004049B8">
      <w:pPr>
        <w:pStyle w:val="FootnoteText"/>
      </w:pPr>
      <w:r>
        <w:rPr>
          <w:vertAlign w:val="superscript"/>
        </w:rPr>
        <w:footnoteRef/>
      </w:r>
      <w:r>
        <w:t xml:space="preserve"> Some video conferencing systems have hard-to-read caption defaults.</w:t>
      </w:r>
    </w:p>
  </w:footnote>
  <w:footnote w:id="3">
    <w:p w14:paraId="50185278" w14:textId="77777777" w:rsidR="004049B8" w:rsidRDefault="004049B8" w:rsidP="004049B8">
      <w:pPr>
        <w:pStyle w:val="FootnoteText"/>
      </w:pPr>
      <w:r>
        <w:rPr>
          <w:vertAlign w:val="superscript"/>
        </w:rPr>
        <w:footnoteRef/>
      </w:r>
      <w:r>
        <w:t xml:space="preserve"> Integrated ASR that feeds off the conference audio tends to provide better accuracy and usability than ASR that runs on a separate system.</w:t>
      </w:r>
    </w:p>
  </w:footnote>
  <w:footnote w:id="4">
    <w:p w14:paraId="5020AE58" w14:textId="77777777" w:rsidR="004049B8" w:rsidRDefault="004049B8" w:rsidP="004049B8">
      <w:pPr>
        <w:pStyle w:val="FootnoteText"/>
      </w:pPr>
      <w:r>
        <w:rPr>
          <w:vertAlign w:val="superscript"/>
        </w:rPr>
        <w:footnoteRef/>
      </w:r>
      <w:r>
        <w:t xml:space="preserve"> Video Relay Services and IP Captioned Telephone Services can connect only if a phone number is available.</w:t>
      </w:r>
    </w:p>
  </w:footnote>
  <w:footnote w:id="5">
    <w:p w14:paraId="10CD3D43" w14:textId="77777777" w:rsidR="004049B8" w:rsidRDefault="004049B8" w:rsidP="004049B8">
      <w:pPr>
        <w:pStyle w:val="FootnoteText"/>
      </w:pPr>
      <w:r>
        <w:rPr>
          <w:vertAlign w:val="superscript"/>
        </w:rPr>
        <w:footnoteRef/>
      </w:r>
      <w:r>
        <w:t xml:space="preserve"> If the video follows the speaker, the participant loses access to the interpreter; conversely, a signing participant may want to keep the video on themselves rather than on the interpreter providing the translation into spoken language.</w:t>
      </w:r>
    </w:p>
  </w:footnote>
  <w:footnote w:id="6">
    <w:p w14:paraId="2CB3FE45" w14:textId="77777777" w:rsidR="004049B8" w:rsidRDefault="004049B8" w:rsidP="004049B8">
      <w:pPr>
        <w:pStyle w:val="FootnoteText"/>
      </w:pPr>
      <w:r>
        <w:rPr>
          <w:vertAlign w:val="superscript"/>
        </w:rPr>
        <w:footnoteRef/>
      </w:r>
      <w:r>
        <w:t xml:space="preserve"> Some video conferencing defaults are too small for a participant to see sign language or lip-read, especially if many participants are on screen.</w:t>
      </w:r>
    </w:p>
  </w:footnote>
  <w:footnote w:id="7">
    <w:p w14:paraId="102E691F" w14:textId="77777777" w:rsidR="004049B8" w:rsidRDefault="004049B8" w:rsidP="004049B8">
      <w:pPr>
        <w:pStyle w:val="FootnoteText"/>
      </w:pPr>
      <w:r>
        <w:rPr>
          <w:vertAlign w:val="superscript"/>
        </w:rPr>
        <w:footnoteRef/>
      </w:r>
      <w:r>
        <w:t xml:space="preserve"> Several video conferencing systems provide only a thumbnail view of video when a screen or presentation is shared, which is too small to understand sign language or lip-read.</w:t>
      </w:r>
    </w:p>
  </w:footnote>
  <w:footnote w:id="8">
    <w:p w14:paraId="5F838BBF" w14:textId="77777777" w:rsidR="004049B8" w:rsidRDefault="004049B8" w:rsidP="004049B8">
      <w:pPr>
        <w:pStyle w:val="FootnoteText"/>
      </w:pPr>
      <w:r>
        <w:rPr>
          <w:vertAlign w:val="superscript"/>
        </w:rPr>
        <w:footnoteRef/>
      </w:r>
      <w:r>
        <w:t xml:space="preserve"> Text chat is a critical feature for participants to alert hosts to accessibility problems, and receive responses.</w:t>
      </w:r>
    </w:p>
  </w:footnote>
  <w:footnote w:id="9">
    <w:p w14:paraId="54951526" w14:textId="77777777" w:rsidR="004049B8" w:rsidRDefault="004049B8" w:rsidP="004049B8">
      <w:pPr>
        <w:pStyle w:val="FootnoteText"/>
      </w:pPr>
      <w:r>
        <w:rPr>
          <w:vertAlign w:val="superscript"/>
        </w:rPr>
        <w:footnoteRef/>
      </w:r>
      <w:r>
        <w:t xml:space="preserve"> In some conferencing systems, too many videos on screen lower the resolution or frame rate too much for sign language to stay intelligible.</w:t>
      </w:r>
    </w:p>
  </w:footnote>
  <w:footnote w:id="10">
    <w:p w14:paraId="765928D2" w14:textId="77777777" w:rsidR="004049B8" w:rsidRDefault="004049B8" w:rsidP="004049B8">
      <w:pPr>
        <w:pStyle w:val="FootnoteText"/>
      </w:pPr>
      <w:r>
        <w:rPr>
          <w:vertAlign w:val="superscript"/>
        </w:rPr>
        <w:footnoteRef/>
      </w:r>
      <w:r>
        <w:t xml:space="preserve"> When multiple deaf or hard of hearing people participate, it is recommended that they be able to all see each other at a glance.</w:t>
      </w:r>
    </w:p>
  </w:footnote>
  <w:footnote w:id="11">
    <w:p w14:paraId="557FEE35" w14:textId="77777777" w:rsidR="004049B8" w:rsidRDefault="004049B8" w:rsidP="004049B8">
      <w:pPr>
        <w:pStyle w:val="FootnoteText"/>
      </w:pPr>
      <w:r>
        <w:rPr>
          <w:vertAlign w:val="superscript"/>
        </w:rPr>
        <w:footnoteRef/>
      </w:r>
      <w:r>
        <w:t xml:space="preserve"> Some of the tips described in the next section are easier to implement with lower cognitive load if moderator roles can be split across multiple people.</w:t>
      </w:r>
    </w:p>
  </w:footnote>
  <w:footnote w:id="12">
    <w:p w14:paraId="352FAD5A" w14:textId="77777777" w:rsidR="00143734" w:rsidRDefault="00143734" w:rsidP="00143734">
      <w:pPr>
        <w:pStyle w:val="FootnoteText"/>
      </w:pPr>
      <w:r>
        <w:rPr>
          <w:vertAlign w:val="superscript"/>
        </w:rPr>
        <w:footnoteRef/>
      </w:r>
      <w:r>
        <w:t xml:space="preserve"> In a separate downloadable add-on; captions are shown in separate window</w:t>
      </w:r>
    </w:p>
  </w:footnote>
  <w:footnote w:id="13">
    <w:p w14:paraId="011A2978" w14:textId="77777777" w:rsidR="00143734" w:rsidRDefault="00143734" w:rsidP="00143734">
      <w:pPr>
        <w:pStyle w:val="FootnoteText"/>
      </w:pPr>
      <w:r>
        <w:rPr>
          <w:vertAlign w:val="superscript"/>
        </w:rPr>
        <w:footnoteRef/>
      </w:r>
      <w:r>
        <w:t xml:space="preserve"> Requires bridging an external phone conference account separate from the videoconferencing platform provider</w:t>
      </w:r>
    </w:p>
  </w:footnote>
  <w:footnote w:id="14">
    <w:p w14:paraId="63B596EA" w14:textId="77777777" w:rsidR="00143734" w:rsidRDefault="00143734" w:rsidP="00143734">
      <w:pPr>
        <w:pStyle w:val="FootnoteText"/>
      </w:pPr>
      <w:r>
        <w:rPr>
          <w:vertAlign w:val="superscript"/>
        </w:rPr>
        <w:footnoteRef/>
      </w:r>
      <w:r>
        <w:t xml:space="preserve"> Captioning is offered as part of an open preview, contact customer service for details. </w:t>
      </w:r>
      <w:hyperlink r:id="rId1">
        <w:r>
          <w:rPr>
            <w:color w:val="1155CC"/>
            <w:u w:val="single"/>
          </w:rPr>
          <w:t>https://support.bluejeans.com/s/article/BlueJeans-Events-Accessibility-Features</w:t>
        </w:r>
      </w:hyperlink>
      <w:r>
        <w:t xml:space="preserve"> </w:t>
      </w:r>
    </w:p>
  </w:footnote>
  <w:footnote w:id="15">
    <w:p w14:paraId="486B834C" w14:textId="77777777" w:rsidR="00143734" w:rsidRDefault="00143734" w:rsidP="00143734">
      <w:pPr>
        <w:pStyle w:val="FootnoteText"/>
      </w:pPr>
      <w:r>
        <w:rPr>
          <w:vertAlign w:val="superscript"/>
        </w:rPr>
        <w:footnoteRef/>
      </w:r>
      <w:r>
        <w:t xml:space="preserve"> Chat notifications are easily overlooked; chat screen hides part of video</w:t>
      </w:r>
    </w:p>
  </w:footnote>
  <w:footnote w:id="16">
    <w:p w14:paraId="5F98DC50" w14:textId="77777777" w:rsidR="00143734" w:rsidRDefault="00143734" w:rsidP="00143734">
      <w:pPr>
        <w:pStyle w:val="FootnoteText"/>
      </w:pPr>
      <w:r>
        <w:rPr>
          <w:vertAlign w:val="superscript"/>
        </w:rPr>
        <w:footnoteRef/>
      </w:r>
      <w:r>
        <w:t xml:space="preserve"> Via moderator passcode</w:t>
      </w:r>
    </w:p>
  </w:footnote>
  <w:footnote w:id="17">
    <w:p w14:paraId="0648E3E0" w14:textId="77777777" w:rsidR="00143734" w:rsidRDefault="00143734" w:rsidP="00143734">
      <w:pPr>
        <w:pStyle w:val="FootnoteText"/>
      </w:pPr>
      <w:r>
        <w:rPr>
          <w:vertAlign w:val="superscript"/>
        </w:rPr>
        <w:footnoteRef/>
      </w:r>
      <w:r>
        <w:t xml:space="preserve"> </w:t>
      </w:r>
      <w:hyperlink r:id="rId2">
        <w:r>
          <w:rPr>
            <w:color w:val="1155CC"/>
            <w:u w:val="single"/>
          </w:rPr>
          <w:t>https://help.webex.com/en-us/WBX47352/How-Do-I-Enable-Closed-Captions</w:t>
        </w:r>
      </w:hyperlink>
      <w:r>
        <w:t xml:space="preserve"> </w:t>
      </w:r>
    </w:p>
  </w:footnote>
  <w:footnote w:id="18">
    <w:p w14:paraId="355AB0B0" w14:textId="77777777" w:rsidR="00143734" w:rsidRDefault="00143734" w:rsidP="00143734">
      <w:pPr>
        <w:pStyle w:val="FootnoteText"/>
      </w:pPr>
      <w:r>
        <w:rPr>
          <w:vertAlign w:val="superscript"/>
        </w:rPr>
        <w:footnoteRef/>
      </w:r>
      <w:r>
        <w:t xml:space="preserve"> Only in single video view; does not work with gallery view</w:t>
      </w:r>
    </w:p>
  </w:footnote>
  <w:footnote w:id="19">
    <w:p w14:paraId="73391F22" w14:textId="77777777" w:rsidR="00143734" w:rsidRDefault="00143734" w:rsidP="00143734">
      <w:pPr>
        <w:pStyle w:val="FootnoteText"/>
      </w:pPr>
      <w:r>
        <w:rPr>
          <w:vertAlign w:val="superscript"/>
        </w:rPr>
        <w:footnoteRef/>
      </w:r>
      <w:r>
        <w:t xml:space="preserve"> Visual chat notifications are easily overlooked</w:t>
      </w:r>
    </w:p>
  </w:footnote>
  <w:footnote w:id="20">
    <w:p w14:paraId="716C5B54" w14:textId="77777777" w:rsidR="00143734" w:rsidRDefault="00143734" w:rsidP="00143734">
      <w:pPr>
        <w:pStyle w:val="FootnoteText"/>
      </w:pPr>
      <w:r>
        <w:rPr>
          <w:vertAlign w:val="superscript"/>
        </w:rPr>
        <w:footnoteRef/>
      </w:r>
      <w:r>
        <w:t xml:space="preserve"> Does not work for "call me" phone audio, works only if participants dials in or uses computer audio</w:t>
      </w:r>
    </w:p>
  </w:footnote>
  <w:footnote w:id="21">
    <w:p w14:paraId="64F888A5" w14:textId="77777777" w:rsidR="00143734" w:rsidRDefault="00143734" w:rsidP="00143734">
      <w:pPr>
        <w:pStyle w:val="FootnoteText"/>
      </w:pPr>
      <w:r>
        <w:rPr>
          <w:vertAlign w:val="superscript"/>
        </w:rPr>
        <w:footnoteRef/>
      </w:r>
      <w:r>
        <w:t xml:space="preserve"> Pinning hides all other videos</w:t>
      </w:r>
    </w:p>
  </w:footnote>
  <w:footnote w:id="22">
    <w:p w14:paraId="2D9F07C5" w14:textId="77777777" w:rsidR="00143734" w:rsidRDefault="00143734" w:rsidP="00143734">
      <w:pPr>
        <w:pStyle w:val="FootnoteText"/>
      </w:pPr>
      <w:r>
        <w:rPr>
          <w:vertAlign w:val="superscript"/>
        </w:rPr>
        <w:footnoteRef/>
      </w:r>
      <w:r>
        <w:t xml:space="preserve"> Chat hides part of video</w:t>
      </w:r>
    </w:p>
  </w:footnote>
  <w:footnote w:id="23">
    <w:p w14:paraId="48F9E4A3" w14:textId="77777777" w:rsidR="00143734" w:rsidRDefault="00143734" w:rsidP="00143734">
      <w:pPr>
        <w:pStyle w:val="FootnoteText"/>
      </w:pPr>
      <w:r>
        <w:rPr>
          <w:vertAlign w:val="superscript"/>
        </w:rPr>
        <w:footnoteRef/>
      </w:r>
      <w:r>
        <w:t xml:space="preserve"> Some participants could not see more than 4 videos at the same time</w:t>
      </w:r>
    </w:p>
  </w:footnote>
  <w:footnote w:id="24">
    <w:p w14:paraId="35C5136A" w14:textId="77777777" w:rsidR="00143734" w:rsidRDefault="00143734" w:rsidP="00143734">
      <w:pPr>
        <w:pStyle w:val="FootnoteText"/>
      </w:pPr>
      <w:r>
        <w:rPr>
          <w:vertAlign w:val="superscript"/>
        </w:rPr>
        <w:footnoteRef/>
      </w:r>
      <w:r>
        <w:t xml:space="preserve"> Using the “Active Cameras” setting, the host hides unneeded videos. This results in a managed gallery view.</w:t>
      </w:r>
    </w:p>
  </w:footnote>
  <w:footnote w:id="25">
    <w:p w14:paraId="648686F2" w14:textId="77777777" w:rsidR="00143734" w:rsidRDefault="00143734" w:rsidP="00143734">
      <w:pPr>
        <w:pStyle w:val="FootnoteText"/>
      </w:pPr>
      <w:r>
        <w:rPr>
          <w:vertAlign w:val="superscript"/>
        </w:rPr>
        <w:footnoteRef/>
      </w:r>
      <w:r>
        <w:t xml:space="preserve"> A whole group of videos can be enlarged</w:t>
      </w:r>
    </w:p>
  </w:footnote>
  <w:footnote w:id="26">
    <w:p w14:paraId="17F3F005" w14:textId="77777777" w:rsidR="00143734" w:rsidRDefault="00143734" w:rsidP="00143734">
      <w:pPr>
        <w:pStyle w:val="FootnoteText"/>
      </w:pPr>
      <w:r>
        <w:rPr>
          <w:vertAlign w:val="superscript"/>
        </w:rPr>
        <w:footnoteRef/>
      </w:r>
      <w:r>
        <w:t xml:space="preserve"> Visual chat notifications are easily overlooked</w:t>
      </w:r>
    </w:p>
  </w:footnote>
  <w:footnote w:id="27">
    <w:p w14:paraId="044BBE32" w14:textId="77777777" w:rsidR="00143734" w:rsidRDefault="00143734" w:rsidP="00143734">
      <w:pPr>
        <w:pStyle w:val="FootnoteText"/>
      </w:pPr>
      <w:r>
        <w:rPr>
          <w:vertAlign w:val="superscript"/>
        </w:rPr>
        <w:footnoteRef/>
      </w:r>
      <w:r>
        <w:t xml:space="preserve"> Can assign co-organizer role</w:t>
      </w:r>
    </w:p>
  </w:footnote>
  <w:footnote w:id="28">
    <w:p w14:paraId="68CC377D" w14:textId="77777777" w:rsidR="00143734" w:rsidRDefault="00143734" w:rsidP="00143734">
      <w:pPr>
        <w:pStyle w:val="FootnoteText"/>
      </w:pPr>
      <w:r>
        <w:rPr>
          <w:vertAlign w:val="superscript"/>
        </w:rPr>
        <w:footnoteRef/>
      </w:r>
      <w:r>
        <w:t xml:space="preserve"> Visual chat notifications are easily overlooked</w:t>
      </w:r>
    </w:p>
  </w:footnote>
  <w:footnote w:id="29">
    <w:p w14:paraId="7D79A081" w14:textId="77777777" w:rsidR="00143734" w:rsidRDefault="00143734" w:rsidP="00143734">
      <w:pPr>
        <w:pStyle w:val="FootnoteText"/>
      </w:pPr>
      <w:r>
        <w:rPr>
          <w:vertAlign w:val="superscript"/>
        </w:rPr>
        <w:footnoteRef/>
      </w:r>
      <w:r>
        <w:t xml:space="preserve"> Anyone can mute or kick out anyone else</w:t>
      </w:r>
    </w:p>
  </w:footnote>
  <w:footnote w:id="30">
    <w:p w14:paraId="3E0F7CDC" w14:textId="77777777" w:rsidR="00143734" w:rsidRDefault="00143734" w:rsidP="00143734">
      <w:pPr>
        <w:pStyle w:val="FootnoteText"/>
      </w:pPr>
      <w:r>
        <w:rPr>
          <w:vertAlign w:val="superscript"/>
        </w:rPr>
        <w:footnoteRef/>
      </w:r>
      <w:r>
        <w:t xml:space="preserve">  Must pay for licensing add-on for phone access </w:t>
      </w:r>
    </w:p>
  </w:footnote>
  <w:footnote w:id="31">
    <w:p w14:paraId="7335D178" w14:textId="77777777" w:rsidR="00143734" w:rsidRDefault="00143734" w:rsidP="00143734">
      <w:pPr>
        <w:pStyle w:val="FootnoteText"/>
      </w:pPr>
      <w:r>
        <w:rPr>
          <w:vertAlign w:val="superscript"/>
        </w:rPr>
        <w:footnoteRef/>
      </w:r>
      <w:r>
        <w:t xml:space="preserve"> Guests cannot chat; must have a free LifeSize account. One-time meetings and passcode-protected meetings do not support chat.</w:t>
      </w:r>
    </w:p>
  </w:footnote>
  <w:footnote w:id="32">
    <w:p w14:paraId="72B1E8B8" w14:textId="77777777" w:rsidR="00143734" w:rsidRDefault="00143734" w:rsidP="00143734">
      <w:pPr>
        <w:pStyle w:val="FootnoteText"/>
      </w:pPr>
      <w:r>
        <w:rPr>
          <w:vertAlign w:val="superscript"/>
        </w:rPr>
        <w:footnoteRef/>
      </w:r>
      <w:r>
        <w:t xml:space="preserve"> Can assign moderator role</w:t>
      </w:r>
    </w:p>
  </w:footnote>
  <w:footnote w:id="33">
    <w:p w14:paraId="2E39CC10" w14:textId="77777777" w:rsidR="00143734" w:rsidRDefault="00143734" w:rsidP="00143734">
      <w:pPr>
        <w:pStyle w:val="FootnoteText"/>
      </w:pPr>
      <w:r>
        <w:rPr>
          <w:vertAlign w:val="superscript"/>
        </w:rPr>
        <w:footnoteRef/>
      </w:r>
      <w:r>
        <w:t xml:space="preserve"> Participants with some setups reported that the ASR caption option does not show. We don't know why.</w:t>
      </w:r>
    </w:p>
  </w:footnote>
  <w:footnote w:id="34">
    <w:p w14:paraId="7A5646F8" w14:textId="77777777" w:rsidR="00143734" w:rsidRDefault="00143734" w:rsidP="00143734">
      <w:pPr>
        <w:pStyle w:val="FootnoteText"/>
      </w:pPr>
      <w:r>
        <w:rPr>
          <w:vertAlign w:val="superscript"/>
        </w:rPr>
        <w:footnoteRef/>
      </w:r>
      <w:r>
        <w:t xml:space="preserve"> Must pay for licensing add-on for phone access </w:t>
      </w:r>
    </w:p>
  </w:footnote>
  <w:footnote w:id="35">
    <w:p w14:paraId="5AED8B08" w14:textId="77777777" w:rsidR="00143734" w:rsidRDefault="00143734" w:rsidP="00143734">
      <w:pPr>
        <w:pStyle w:val="FootnoteText"/>
      </w:pPr>
      <w:r>
        <w:rPr>
          <w:vertAlign w:val="superscript"/>
        </w:rPr>
        <w:footnoteRef/>
      </w:r>
      <w:r>
        <w:t xml:space="preserve"> Can enlarge one or the other, not both at the same time. Only presenters can enlarge both.</w:t>
      </w:r>
    </w:p>
  </w:footnote>
  <w:footnote w:id="36">
    <w:p w14:paraId="65FBA452" w14:textId="77777777" w:rsidR="00143734" w:rsidRDefault="00143734" w:rsidP="00143734">
      <w:pPr>
        <w:pStyle w:val="FootnoteText"/>
      </w:pPr>
      <w:r>
        <w:rPr>
          <w:vertAlign w:val="superscript"/>
        </w:rPr>
        <w:footnoteRef/>
      </w:r>
      <w:r>
        <w:t xml:space="preserve"> Can assign moderator role</w:t>
      </w:r>
    </w:p>
  </w:footnote>
  <w:footnote w:id="37">
    <w:p w14:paraId="01DBC5A5" w14:textId="77777777" w:rsidR="00143734" w:rsidRDefault="00143734" w:rsidP="00143734">
      <w:pPr>
        <w:pStyle w:val="FootnoteText"/>
      </w:pPr>
      <w:r>
        <w:rPr>
          <w:vertAlign w:val="superscript"/>
        </w:rPr>
        <w:footnoteRef/>
      </w:r>
      <w:r>
        <w:t xml:space="preserve"> Currently requires the site manager to contact and sign an agreement with Zoom account manager.</w:t>
      </w:r>
    </w:p>
  </w:footnote>
  <w:footnote w:id="38">
    <w:p w14:paraId="6739F4F9" w14:textId="77777777" w:rsidR="00143734" w:rsidRDefault="00143734" w:rsidP="00143734">
      <w:pPr>
        <w:pStyle w:val="FootnoteText"/>
      </w:pPr>
      <w:r>
        <w:rPr>
          <w:vertAlign w:val="superscript"/>
        </w:rPr>
        <w:footnoteRef/>
      </w:r>
      <w:r>
        <w:t xml:space="preserve"> Must pay for Pro plan for phone access</w:t>
      </w:r>
    </w:p>
  </w:footnote>
  <w:footnote w:id="39">
    <w:p w14:paraId="3577F0D7" w14:textId="77777777" w:rsidR="00143734" w:rsidRDefault="00143734" w:rsidP="00143734">
      <w:pPr>
        <w:pStyle w:val="FootnoteText"/>
      </w:pPr>
      <w:r>
        <w:rPr>
          <w:vertAlign w:val="superscript"/>
        </w:rPr>
        <w:footnoteRef/>
      </w:r>
      <w:r>
        <w:t xml:space="preserve"> Two with a dual monitor configuration</w:t>
      </w:r>
    </w:p>
  </w:footnote>
  <w:footnote w:id="40">
    <w:p w14:paraId="555F46AA" w14:textId="77777777" w:rsidR="00143734" w:rsidRDefault="00143734" w:rsidP="00143734">
      <w:pPr>
        <w:pStyle w:val="FootnoteText"/>
      </w:pPr>
      <w:r>
        <w:rPr>
          <w:vertAlign w:val="superscript"/>
        </w:rPr>
        <w:footnoteRef/>
      </w:r>
      <w:r>
        <w:t xml:space="preserve"> Limited on mobile devices</w:t>
      </w:r>
    </w:p>
  </w:footnote>
  <w:footnote w:id="41">
    <w:p w14:paraId="4326CA70" w14:textId="77777777" w:rsidR="00143734" w:rsidRDefault="00143734" w:rsidP="00143734">
      <w:pPr>
        <w:pStyle w:val="FootnoteText"/>
      </w:pPr>
      <w:r>
        <w:rPr>
          <w:vertAlign w:val="superscript"/>
        </w:rPr>
        <w:footnoteRef/>
      </w:r>
      <w:r>
        <w:t xml:space="preserve"> High quality can be maintained if the video is spotlighted</w:t>
      </w:r>
    </w:p>
  </w:footnote>
  <w:footnote w:id="42">
    <w:p w14:paraId="42310CFE" w14:textId="77777777" w:rsidR="00143734" w:rsidRDefault="00143734" w:rsidP="00143734">
      <w:pPr>
        <w:pStyle w:val="FootnoteText"/>
      </w:pPr>
      <w:r>
        <w:rPr>
          <w:vertAlign w:val="superscript"/>
        </w:rPr>
        <w:footnoteRef/>
      </w:r>
      <w:r>
        <w:t xml:space="preserve">  Currently requires the site manager to contact and sign an agreement with Zoom account manager.</w:t>
      </w:r>
    </w:p>
  </w:footnote>
  <w:footnote w:id="43">
    <w:p w14:paraId="6ECC5219" w14:textId="77777777" w:rsidR="00143734" w:rsidRDefault="00143734" w:rsidP="00143734">
      <w:pPr>
        <w:pStyle w:val="FootnoteText"/>
      </w:pPr>
      <w:r>
        <w:rPr>
          <w:vertAlign w:val="superscript"/>
        </w:rPr>
        <w:footnoteRef/>
      </w:r>
      <w:r>
        <w:t xml:space="preserve">  Must pay for Pro plan for phone access</w:t>
      </w:r>
    </w:p>
  </w:footnote>
  <w:footnote w:id="44">
    <w:p w14:paraId="2F768384" w14:textId="77777777" w:rsidR="00143734" w:rsidRDefault="00143734" w:rsidP="00143734">
      <w:pPr>
        <w:pStyle w:val="FootnoteText"/>
      </w:pPr>
      <w:r>
        <w:rPr>
          <w:vertAlign w:val="superscript"/>
        </w:rPr>
        <w:footnoteRef/>
      </w:r>
      <w:r>
        <w:t xml:space="preserve"> Two with a dual monitor configuration</w:t>
      </w:r>
    </w:p>
  </w:footnote>
  <w:footnote w:id="45">
    <w:p w14:paraId="70A0314C" w14:textId="77777777" w:rsidR="00143734" w:rsidRDefault="00143734" w:rsidP="00143734">
      <w:pPr>
        <w:pStyle w:val="FootnoteText"/>
      </w:pPr>
      <w:r>
        <w:rPr>
          <w:vertAlign w:val="superscript"/>
        </w:rPr>
        <w:footnoteRef/>
      </w:r>
      <w:r>
        <w:t xml:space="preserve">  Limited on mobile devices</w:t>
      </w:r>
    </w:p>
  </w:footnote>
  <w:footnote w:id="46">
    <w:p w14:paraId="4C90225A" w14:textId="77777777" w:rsidR="00143734" w:rsidRPr="00C96B2E" w:rsidRDefault="00143734" w:rsidP="00143734">
      <w:pPr>
        <w:rPr>
          <w:rStyle w:val="FootnoteTextChar"/>
        </w:rPr>
      </w:pPr>
      <w:r w:rsidRPr="00C96B2E">
        <w:rPr>
          <w:sz w:val="20"/>
          <w:szCs w:val="20"/>
          <w:vertAlign w:val="superscript"/>
        </w:rPr>
        <w:footnoteRef/>
      </w:r>
      <w:r w:rsidRPr="00C96B2E">
        <w:rPr>
          <w:sz w:val="20"/>
          <w:szCs w:val="20"/>
        </w:rPr>
        <w:t xml:space="preserve">  </w:t>
      </w:r>
      <w:r w:rsidRPr="00C96B2E">
        <w:rPr>
          <w:rStyle w:val="FootnoteTextChar"/>
        </w:rPr>
        <w:t>High quality can be maintained if the video is spotlighted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56C34"/>
    <w:multiLevelType w:val="multilevel"/>
    <w:tmpl w:val="CA12B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7015957"/>
    <w:multiLevelType w:val="multilevel"/>
    <w:tmpl w:val="30BAD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C0290D"/>
    <w:multiLevelType w:val="multilevel"/>
    <w:tmpl w:val="11DEE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34"/>
    <w:rsid w:val="00027323"/>
    <w:rsid w:val="000466D2"/>
    <w:rsid w:val="0012197E"/>
    <w:rsid w:val="00143734"/>
    <w:rsid w:val="00223E0B"/>
    <w:rsid w:val="00255ECC"/>
    <w:rsid w:val="002562F7"/>
    <w:rsid w:val="002644B4"/>
    <w:rsid w:val="00361683"/>
    <w:rsid w:val="00375E72"/>
    <w:rsid w:val="003A3C96"/>
    <w:rsid w:val="003D43EC"/>
    <w:rsid w:val="003E1FB9"/>
    <w:rsid w:val="004049B8"/>
    <w:rsid w:val="00437416"/>
    <w:rsid w:val="00463384"/>
    <w:rsid w:val="005E3E95"/>
    <w:rsid w:val="00616269"/>
    <w:rsid w:val="00664507"/>
    <w:rsid w:val="007225C7"/>
    <w:rsid w:val="00793C6B"/>
    <w:rsid w:val="007F30F8"/>
    <w:rsid w:val="008161AE"/>
    <w:rsid w:val="008B148E"/>
    <w:rsid w:val="008E2BBD"/>
    <w:rsid w:val="00962694"/>
    <w:rsid w:val="00963C72"/>
    <w:rsid w:val="00966C59"/>
    <w:rsid w:val="00990A44"/>
    <w:rsid w:val="009C46C3"/>
    <w:rsid w:val="00AD6E65"/>
    <w:rsid w:val="00AD770B"/>
    <w:rsid w:val="00B11F63"/>
    <w:rsid w:val="00BB4084"/>
    <w:rsid w:val="00C2504C"/>
    <w:rsid w:val="00C5559E"/>
    <w:rsid w:val="00CE31ED"/>
    <w:rsid w:val="00CE68AC"/>
    <w:rsid w:val="00D13888"/>
    <w:rsid w:val="00D33908"/>
    <w:rsid w:val="00D405B9"/>
    <w:rsid w:val="00D86C79"/>
    <w:rsid w:val="00DE3C73"/>
    <w:rsid w:val="00E632E4"/>
    <w:rsid w:val="00EF3728"/>
    <w:rsid w:val="00F04DC7"/>
    <w:rsid w:val="00F107C4"/>
    <w:rsid w:val="00F44BF7"/>
    <w:rsid w:val="00FB72B2"/>
    <w:rsid w:val="00FE6F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1D924D0"/>
  <w15:chartTrackingRefBased/>
  <w15:docId w15:val="{5997ED0F-5088-2148-96BD-DC3EF94C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34"/>
    <w:pPr>
      <w:spacing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143734"/>
    <w:pPr>
      <w:keepNext/>
      <w:keepLines/>
      <w:spacing w:before="400"/>
      <w:outlineLvl w:val="0"/>
    </w:pPr>
    <w:rPr>
      <w:sz w:val="40"/>
      <w:szCs w:val="40"/>
    </w:rPr>
  </w:style>
  <w:style w:type="paragraph" w:styleId="Heading2">
    <w:name w:val="heading 2"/>
    <w:basedOn w:val="Normal"/>
    <w:next w:val="Normal"/>
    <w:link w:val="Heading2Char"/>
    <w:uiPriority w:val="9"/>
    <w:unhideWhenUsed/>
    <w:qFormat/>
    <w:rsid w:val="00143734"/>
    <w:pPr>
      <w:keepNext/>
      <w:keepLines/>
      <w:spacing w:before="36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734"/>
    <w:rPr>
      <w:rFonts w:ascii="Times New Roman" w:eastAsia="Times New Roman" w:hAnsi="Times New Roman" w:cs="Times New Roman"/>
      <w:sz w:val="40"/>
      <w:szCs w:val="40"/>
    </w:rPr>
  </w:style>
  <w:style w:type="character" w:customStyle="1" w:styleId="Heading2Char">
    <w:name w:val="Heading 2 Char"/>
    <w:basedOn w:val="DefaultParagraphFont"/>
    <w:link w:val="Heading2"/>
    <w:uiPriority w:val="9"/>
    <w:rsid w:val="00143734"/>
    <w:rPr>
      <w:rFonts w:ascii="Times New Roman" w:eastAsia="Times New Roman" w:hAnsi="Times New Roman" w:cs="Times New Roman"/>
      <w:sz w:val="32"/>
      <w:szCs w:val="32"/>
    </w:rPr>
  </w:style>
  <w:style w:type="character" w:styleId="CommentReference">
    <w:name w:val="annotation reference"/>
    <w:basedOn w:val="DefaultParagraphFont"/>
    <w:uiPriority w:val="99"/>
    <w:semiHidden/>
    <w:unhideWhenUsed/>
    <w:rsid w:val="00143734"/>
    <w:rPr>
      <w:sz w:val="16"/>
      <w:szCs w:val="16"/>
    </w:rPr>
  </w:style>
  <w:style w:type="paragraph" w:styleId="CommentText">
    <w:name w:val="annotation text"/>
    <w:basedOn w:val="Normal"/>
    <w:link w:val="CommentTextChar"/>
    <w:uiPriority w:val="99"/>
    <w:unhideWhenUsed/>
    <w:rsid w:val="00143734"/>
    <w:rPr>
      <w:sz w:val="20"/>
      <w:szCs w:val="20"/>
    </w:rPr>
  </w:style>
  <w:style w:type="character" w:customStyle="1" w:styleId="CommentTextChar">
    <w:name w:val="Comment Text Char"/>
    <w:basedOn w:val="DefaultParagraphFont"/>
    <w:link w:val="CommentText"/>
    <w:uiPriority w:val="99"/>
    <w:rsid w:val="00143734"/>
    <w:rPr>
      <w:rFonts w:ascii="Times New Roman" w:eastAsia="Times New Roman" w:hAnsi="Times New Roman" w:cs="Times New Roman"/>
      <w:sz w:val="20"/>
      <w:szCs w:val="20"/>
    </w:rPr>
  </w:style>
  <w:style w:type="paragraph" w:customStyle="1" w:styleId="TableBody">
    <w:name w:val="Table Body"/>
    <w:basedOn w:val="Normal"/>
    <w:qFormat/>
    <w:rsid w:val="00143734"/>
    <w:pPr>
      <w:keepNext/>
      <w:widowControl w:val="0"/>
    </w:pPr>
    <w:rPr>
      <w:sz w:val="18"/>
      <w:szCs w:val="18"/>
    </w:rPr>
  </w:style>
  <w:style w:type="paragraph" w:customStyle="1" w:styleId="TableHeading">
    <w:name w:val="Table Heading"/>
    <w:basedOn w:val="TableBody"/>
    <w:qFormat/>
    <w:rsid w:val="00143734"/>
    <w:rPr>
      <w:b/>
    </w:rPr>
  </w:style>
  <w:style w:type="paragraph" w:styleId="ListParagraph">
    <w:name w:val="List Paragraph"/>
    <w:basedOn w:val="Normal"/>
    <w:uiPriority w:val="34"/>
    <w:qFormat/>
    <w:rsid w:val="00143734"/>
    <w:pPr>
      <w:ind w:left="720"/>
      <w:contextualSpacing/>
    </w:pPr>
  </w:style>
  <w:style w:type="paragraph" w:styleId="FootnoteText">
    <w:name w:val="footnote text"/>
    <w:basedOn w:val="Normal"/>
    <w:link w:val="FootnoteTextChar"/>
    <w:uiPriority w:val="99"/>
    <w:unhideWhenUsed/>
    <w:rsid w:val="00143734"/>
    <w:rPr>
      <w:sz w:val="20"/>
      <w:szCs w:val="20"/>
    </w:rPr>
  </w:style>
  <w:style w:type="character" w:customStyle="1" w:styleId="FootnoteTextChar">
    <w:name w:val="Footnote Text Char"/>
    <w:basedOn w:val="DefaultParagraphFont"/>
    <w:link w:val="FootnoteText"/>
    <w:uiPriority w:val="99"/>
    <w:rsid w:val="0014373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3734"/>
    <w:pPr>
      <w:spacing w:after="0"/>
    </w:pPr>
    <w:rPr>
      <w:sz w:val="18"/>
      <w:szCs w:val="18"/>
    </w:rPr>
  </w:style>
  <w:style w:type="character" w:customStyle="1" w:styleId="BalloonTextChar">
    <w:name w:val="Balloon Text Char"/>
    <w:basedOn w:val="DefaultParagraphFont"/>
    <w:link w:val="BalloonText"/>
    <w:uiPriority w:val="99"/>
    <w:semiHidden/>
    <w:rsid w:val="00143734"/>
    <w:rPr>
      <w:rFonts w:ascii="Times New Roman" w:eastAsia="Times New Roman" w:hAnsi="Times New Roman" w:cs="Times New Roman"/>
      <w:sz w:val="18"/>
      <w:szCs w:val="18"/>
    </w:rPr>
  </w:style>
  <w:style w:type="paragraph" w:styleId="Subtitle">
    <w:name w:val="Subtitle"/>
    <w:basedOn w:val="Normal"/>
    <w:next w:val="Normal"/>
    <w:link w:val="SubtitleChar"/>
    <w:uiPriority w:val="11"/>
    <w:qFormat/>
    <w:rsid w:val="004049B8"/>
    <w:pPr>
      <w:keepNext/>
      <w:keepLines/>
      <w:spacing w:after="320"/>
    </w:pPr>
    <w:rPr>
      <w:color w:val="666666"/>
      <w:sz w:val="30"/>
      <w:szCs w:val="30"/>
    </w:rPr>
  </w:style>
  <w:style w:type="character" w:customStyle="1" w:styleId="SubtitleChar">
    <w:name w:val="Subtitle Char"/>
    <w:basedOn w:val="DefaultParagraphFont"/>
    <w:link w:val="Subtitle"/>
    <w:uiPriority w:val="11"/>
    <w:rsid w:val="004049B8"/>
    <w:rPr>
      <w:rFonts w:ascii="Times New Roman" w:eastAsia="Times New Roman" w:hAnsi="Times New Roman" w:cs="Times New Roman"/>
      <w:color w:val="666666"/>
      <w:sz w:val="30"/>
      <w:szCs w:val="30"/>
    </w:rPr>
  </w:style>
  <w:style w:type="character" w:styleId="Hyperlink">
    <w:name w:val="Hyperlink"/>
    <w:basedOn w:val="DefaultParagraphFont"/>
    <w:uiPriority w:val="99"/>
    <w:unhideWhenUsed/>
    <w:rsid w:val="00D86C79"/>
    <w:rPr>
      <w:color w:val="0563C1" w:themeColor="hyperlink"/>
      <w:u w:val="single"/>
    </w:rPr>
  </w:style>
  <w:style w:type="character" w:styleId="FollowedHyperlink">
    <w:name w:val="FollowedHyperlink"/>
    <w:basedOn w:val="DefaultParagraphFont"/>
    <w:uiPriority w:val="99"/>
    <w:semiHidden/>
    <w:unhideWhenUsed/>
    <w:rsid w:val="00DE3C73"/>
    <w:rPr>
      <w:color w:val="954F72" w:themeColor="followedHyperlink"/>
      <w:u w:val="single"/>
    </w:rPr>
  </w:style>
  <w:style w:type="character" w:customStyle="1" w:styleId="il">
    <w:name w:val="il"/>
    <w:basedOn w:val="DefaultParagraphFont"/>
    <w:rsid w:val="005E3E95"/>
  </w:style>
  <w:style w:type="character" w:styleId="UnresolvedMention">
    <w:name w:val="Unresolved Mention"/>
    <w:basedOn w:val="DefaultParagraphFont"/>
    <w:uiPriority w:val="99"/>
    <w:semiHidden/>
    <w:unhideWhenUsed/>
    <w:rsid w:val="00F04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adb.org/" TargetMode="External"/><Relationship Id="rId13" Type="http://schemas.openxmlformats.org/officeDocument/2006/relationships/hyperlink" Target="https://www.deafhhtech.org/rerc/" TargetMode="External"/><Relationship Id="rId18" Type="http://schemas.openxmlformats.org/officeDocument/2006/relationships/hyperlink" Target="http://tlpc.colorado.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eafhhtech.org/rerc/video-conferencing-platforms-feature-matrix/" TargetMode="External"/><Relationship Id="rId12" Type="http://schemas.openxmlformats.org/officeDocument/2006/relationships/hyperlink" Target="http://gallaudet.edu/" TargetMode="External"/><Relationship Id="rId17" Type="http://schemas.openxmlformats.org/officeDocument/2006/relationships/hyperlink" Target="https://www.rit.edu/ntid/nce" TargetMode="External"/><Relationship Id="rId2" Type="http://schemas.openxmlformats.org/officeDocument/2006/relationships/styles" Target="styles.xml"/><Relationship Id="rId16" Type="http://schemas.openxmlformats.org/officeDocument/2006/relationships/hyperlink" Target="http://nasadhh.org/" TargetMode="External"/><Relationship Id="rId20" Type="http://schemas.openxmlformats.org/officeDocument/2006/relationships/hyperlink" Target="https://tinachildress.wordpres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afingov.org/" TargetMode="External"/><Relationship Id="rId5" Type="http://schemas.openxmlformats.org/officeDocument/2006/relationships/footnotes" Target="footnotes.xml"/><Relationship Id="rId15" Type="http://schemas.openxmlformats.org/officeDocument/2006/relationships/hyperlink" Target="https://www.nad.org/contact-us/" TargetMode="External"/><Relationship Id="rId10" Type="http://schemas.openxmlformats.org/officeDocument/2006/relationships/hyperlink" Target="http://cpado.org/" TargetMode="External"/><Relationship Id="rId19" Type="http://schemas.openxmlformats.org/officeDocument/2006/relationships/hyperlink" Target="https://tdiforaccess.org/" TargetMode="External"/><Relationship Id="rId4" Type="http://schemas.openxmlformats.org/officeDocument/2006/relationships/webSettings" Target="webSettings.xml"/><Relationship Id="rId9" Type="http://schemas.openxmlformats.org/officeDocument/2006/relationships/hyperlink" Target="https://alda.org/" TargetMode="External"/><Relationship Id="rId14" Type="http://schemas.openxmlformats.org/officeDocument/2006/relationships/hyperlink" Target="http://www.hearingloss.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elp.webex.com/en-us/WBX47352/How-Do-I-Enable-Closed-Captions" TargetMode="External"/><Relationship Id="rId1" Type="http://schemas.openxmlformats.org/officeDocument/2006/relationships/hyperlink" Target="https://support.bluejeans.com/s/article/BlueJeans-Events-Accessibility-Fe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1701</Words>
  <Characters>9787</Characters>
  <Application>Microsoft Office Word</Application>
  <DocSecurity>0</DocSecurity>
  <Lines>177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 Alkebsi</dc:creator>
  <cp:keywords/>
  <dc:description/>
  <cp:lastModifiedBy>Christian Vogler</cp:lastModifiedBy>
  <cp:revision>4</cp:revision>
  <dcterms:created xsi:type="dcterms:W3CDTF">2020-05-20T14:02:00Z</dcterms:created>
  <dcterms:modified xsi:type="dcterms:W3CDTF">2020-05-28T23:01:00Z</dcterms:modified>
</cp:coreProperties>
</file>